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AE1D0">
      <w:pPr>
        <w:spacing w:line="240" w:lineRule="auto"/>
        <w:ind w:firstLine="0" w:firstLineChars="0"/>
        <w:rPr>
          <w:rFonts w:eastAsia="仿宋_GB2312"/>
          <w:color w:val="0000FF"/>
          <w:spacing w:val="0"/>
          <w:position w:val="0"/>
          <w:sz w:val="36"/>
          <w:szCs w:val="36"/>
        </w:rPr>
      </w:pPr>
    </w:p>
    <w:p w14:paraId="2876F4F4">
      <w:pPr>
        <w:rPr>
          <w:rFonts w:eastAsia="仿宋_GB2312"/>
          <w:color w:val="0000FF"/>
          <w:spacing w:val="0"/>
          <w:position w:val="0"/>
          <w:sz w:val="36"/>
          <w:szCs w:val="36"/>
        </w:rPr>
      </w:pPr>
    </w:p>
    <w:p w14:paraId="78088075">
      <w:pPr>
        <w:rPr>
          <w:rFonts w:eastAsia="仿宋_GB2312"/>
          <w:color w:val="0000FF"/>
          <w:spacing w:val="0"/>
          <w:position w:val="0"/>
          <w:sz w:val="36"/>
          <w:szCs w:val="36"/>
        </w:rPr>
      </w:pPr>
    </w:p>
    <w:p w14:paraId="64D2B95C">
      <w:pPr>
        <w:rPr>
          <w:rFonts w:eastAsia="仿宋_GB2312"/>
          <w:color w:val="auto"/>
          <w:spacing w:val="0"/>
          <w:position w:val="0"/>
          <w:sz w:val="36"/>
          <w:szCs w:val="36"/>
        </w:rPr>
      </w:pPr>
    </w:p>
    <w:p w14:paraId="229F4B1A">
      <w:pPr>
        <w:rPr>
          <w:rFonts w:eastAsia="仿宋_GB2312"/>
          <w:color w:val="auto"/>
          <w:spacing w:val="0"/>
          <w:position w:val="0"/>
          <w:sz w:val="36"/>
          <w:szCs w:val="36"/>
        </w:rPr>
      </w:pPr>
    </w:p>
    <w:p w14:paraId="2FB51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eastAsia="方正小标宋_GBK"/>
          <w:bCs/>
          <w:color w:val="auto"/>
          <w:spacing w:val="0"/>
          <w:position w:val="0"/>
          <w:sz w:val="72"/>
          <w:szCs w:val="72"/>
        </w:rPr>
      </w:pPr>
      <w:r>
        <w:rPr>
          <w:rFonts w:eastAsia="方正小标宋_GBK"/>
          <w:bCs/>
          <w:color w:val="auto"/>
          <w:spacing w:val="0"/>
          <w:position w:val="0"/>
          <w:sz w:val="72"/>
          <w:szCs w:val="72"/>
        </w:rPr>
        <w:t>建设项目环境影响报告表</w:t>
      </w:r>
    </w:p>
    <w:p w14:paraId="43D442AA">
      <w:pPr>
        <w:keepNext w:val="0"/>
        <w:keepLines w:val="0"/>
        <w:pageBreakBefore w:val="0"/>
        <w:widowControl w:val="0"/>
        <w:kinsoku/>
        <w:wordWrap/>
        <w:overflowPunct/>
        <w:topLinePunct w:val="0"/>
        <w:autoSpaceDE/>
        <w:autoSpaceDN/>
        <w:bidi w:val="0"/>
        <w:adjustRightInd w:val="0"/>
        <w:snapToGrid w:val="0"/>
        <w:spacing w:before="192" w:beforeLines="80" w:line="240" w:lineRule="auto"/>
        <w:ind w:firstLine="0" w:firstLineChars="0"/>
        <w:jc w:val="center"/>
        <w:textAlignment w:val="auto"/>
        <w:rPr>
          <w:rFonts w:eastAsia="楷体_GB2312"/>
          <w:bCs/>
          <w:color w:val="auto"/>
          <w:spacing w:val="0"/>
          <w:position w:val="0"/>
          <w:sz w:val="48"/>
          <w:szCs w:val="48"/>
        </w:rPr>
      </w:pPr>
      <w:r>
        <w:rPr>
          <w:rFonts w:eastAsia="楷体_GB2312"/>
          <w:bCs/>
          <w:color w:val="auto"/>
          <w:spacing w:val="0"/>
          <w:position w:val="0"/>
          <w:sz w:val="48"/>
          <w:szCs w:val="48"/>
        </w:rPr>
        <w:t>（污染影响类）</w:t>
      </w:r>
    </w:p>
    <w:p w14:paraId="17E8C3A1">
      <w:pPr>
        <w:ind w:firstLine="1040"/>
        <w:jc w:val="center"/>
        <w:rPr>
          <w:rFonts w:eastAsia="仿宋"/>
          <w:color w:val="auto"/>
          <w:spacing w:val="0"/>
          <w:position w:val="0"/>
          <w:sz w:val="52"/>
          <w:szCs w:val="52"/>
        </w:rPr>
      </w:pPr>
    </w:p>
    <w:p w14:paraId="2D681089">
      <w:pPr>
        <w:pStyle w:val="6"/>
        <w:ind w:firstLine="560"/>
        <w:rPr>
          <w:color w:val="auto"/>
          <w:spacing w:val="0"/>
          <w:position w:val="0"/>
        </w:rPr>
      </w:pPr>
    </w:p>
    <w:p w14:paraId="38ED6BA9">
      <w:pPr>
        <w:ind w:firstLine="880"/>
        <w:rPr>
          <w:rFonts w:eastAsia="仿宋"/>
          <w:color w:val="auto"/>
          <w:spacing w:val="0"/>
          <w:position w:val="0"/>
          <w:sz w:val="44"/>
          <w:szCs w:val="44"/>
        </w:rPr>
      </w:pPr>
    </w:p>
    <w:p w14:paraId="703815BA">
      <w:pPr>
        <w:ind w:firstLine="880"/>
        <w:rPr>
          <w:rFonts w:eastAsia="仿宋"/>
          <w:color w:val="auto"/>
          <w:spacing w:val="0"/>
          <w:position w:val="0"/>
          <w:sz w:val="44"/>
          <w:szCs w:val="44"/>
        </w:rPr>
      </w:pPr>
    </w:p>
    <w:p w14:paraId="4E604466">
      <w:pPr>
        <w:ind w:firstLine="880"/>
        <w:rPr>
          <w:rFonts w:eastAsia="仿宋"/>
          <w:color w:val="auto"/>
          <w:spacing w:val="0"/>
          <w:position w:val="0"/>
          <w:sz w:val="44"/>
          <w:szCs w:val="44"/>
        </w:rPr>
      </w:pPr>
    </w:p>
    <w:p w14:paraId="55BE5BDD">
      <w:pPr>
        <w:adjustRightInd w:val="0"/>
        <w:snapToGrid w:val="0"/>
        <w:spacing w:line="288" w:lineRule="auto"/>
        <w:ind w:firstLine="360" w:firstLineChars="100"/>
        <w:rPr>
          <w:rFonts w:hint="default" w:eastAsia="仿宋_GB2312"/>
          <w:color w:val="auto"/>
          <w:spacing w:val="0"/>
          <w:position w:val="0"/>
          <w:sz w:val="36"/>
          <w:szCs w:val="36"/>
          <w:u w:val="single"/>
          <w:lang w:val="en-US" w:eastAsia="zh-CN"/>
        </w:rPr>
      </w:pPr>
      <w:r>
        <w:rPr>
          <w:rFonts w:eastAsia="仿宋_GB2312"/>
          <w:color w:val="auto"/>
          <w:spacing w:val="0"/>
          <w:position w:val="0"/>
          <w:sz w:val="36"/>
          <w:szCs w:val="36"/>
        </w:rPr>
        <w:t>项目名称：</w:t>
      </w:r>
      <w:r>
        <w:rPr>
          <w:rFonts w:hint="eastAsia" w:eastAsia="仿宋_GB2312"/>
          <w:color w:val="auto"/>
          <w:spacing w:val="0"/>
          <w:position w:val="0"/>
          <w:sz w:val="36"/>
          <w:szCs w:val="36"/>
          <w:u w:val="single"/>
        </w:rPr>
        <w:t>秦丰环保科技有限公司PPR塑料管</w:t>
      </w:r>
      <w:r>
        <w:rPr>
          <w:rFonts w:hint="eastAsia" w:eastAsia="仿宋_GB2312"/>
          <w:color w:val="auto"/>
          <w:spacing w:val="0"/>
          <w:position w:val="0"/>
          <w:sz w:val="36"/>
          <w:szCs w:val="36"/>
          <w:u w:val="single"/>
          <w:lang w:val="en-US" w:eastAsia="zh-CN"/>
        </w:rPr>
        <w:t xml:space="preserve">   </w:t>
      </w:r>
    </w:p>
    <w:p w14:paraId="0E4372E9">
      <w:pPr>
        <w:adjustRightInd w:val="0"/>
        <w:snapToGrid w:val="0"/>
        <w:spacing w:line="288" w:lineRule="auto"/>
        <w:ind w:firstLine="2160" w:firstLineChars="600"/>
        <w:rPr>
          <w:rFonts w:hint="default" w:eastAsia="仿宋_GB2312"/>
          <w:color w:val="auto"/>
          <w:spacing w:val="0"/>
          <w:position w:val="0"/>
          <w:sz w:val="36"/>
          <w:szCs w:val="36"/>
          <w:u w:val="single"/>
          <w:lang w:val="en-US" w:eastAsia="zh-CN"/>
        </w:rPr>
      </w:pPr>
      <w:r>
        <w:rPr>
          <w:rFonts w:hint="eastAsia" w:eastAsia="仿宋_GB2312"/>
          <w:color w:val="auto"/>
          <w:spacing w:val="0"/>
          <w:position w:val="0"/>
          <w:sz w:val="36"/>
          <w:szCs w:val="36"/>
          <w:u w:val="single"/>
        </w:rPr>
        <w:t>加工生产线项目</w:t>
      </w:r>
      <w:r>
        <w:rPr>
          <w:rFonts w:hint="eastAsia" w:eastAsia="仿宋_GB2312"/>
          <w:color w:val="auto"/>
          <w:spacing w:val="0"/>
          <w:position w:val="0"/>
          <w:sz w:val="36"/>
          <w:szCs w:val="36"/>
          <w:u w:val="single"/>
          <w:lang w:val="en-US" w:eastAsia="zh-CN"/>
        </w:rPr>
        <w:t xml:space="preserve">                    </w:t>
      </w:r>
    </w:p>
    <w:p w14:paraId="08022F91">
      <w:pPr>
        <w:adjustRightInd w:val="0"/>
        <w:snapToGrid w:val="0"/>
        <w:spacing w:line="288" w:lineRule="auto"/>
        <w:ind w:firstLine="360" w:firstLineChars="100"/>
        <w:rPr>
          <w:rFonts w:hint="eastAsia" w:eastAsia="仿宋_GB2312"/>
          <w:color w:val="auto"/>
          <w:spacing w:val="0"/>
          <w:position w:val="0"/>
          <w:sz w:val="36"/>
          <w:szCs w:val="36"/>
          <w:u w:val="single"/>
          <w:lang w:val="en-US" w:eastAsia="zh-CN"/>
        </w:rPr>
      </w:pPr>
      <w:r>
        <w:rPr>
          <w:rFonts w:eastAsia="仿宋_GB2312"/>
          <w:color w:val="auto"/>
          <w:spacing w:val="0"/>
          <w:position w:val="0"/>
          <w:sz w:val="36"/>
          <w:szCs w:val="36"/>
        </w:rPr>
        <w:t>建设单位（盖章）：</w:t>
      </w:r>
      <w:r>
        <w:rPr>
          <w:rFonts w:hint="eastAsia" w:eastAsia="仿宋_GB2312"/>
          <w:color w:val="auto"/>
          <w:spacing w:val="0"/>
          <w:position w:val="0"/>
          <w:sz w:val="36"/>
          <w:szCs w:val="36"/>
          <w:u w:val="single"/>
          <w:lang w:val="en-US" w:eastAsia="zh-CN"/>
        </w:rPr>
        <w:t>奎屯秦丰环保科技有限公司</w:t>
      </w:r>
      <w:r>
        <w:rPr>
          <w:rFonts w:hint="eastAsia" w:eastAsia="仿宋_GB2312"/>
          <w:color w:val="auto"/>
          <w:spacing w:val="0"/>
          <w:position w:val="0"/>
          <w:sz w:val="36"/>
          <w:szCs w:val="36"/>
          <w:u w:val="single"/>
        </w:rPr>
        <w:t xml:space="preserve"> </w:t>
      </w:r>
      <w:r>
        <w:rPr>
          <w:rFonts w:hint="eastAsia" w:eastAsia="仿宋_GB2312"/>
          <w:color w:val="auto"/>
          <w:spacing w:val="0"/>
          <w:position w:val="0"/>
          <w:sz w:val="36"/>
          <w:szCs w:val="36"/>
          <w:u w:val="single"/>
          <w:lang w:val="en-US" w:eastAsia="zh-CN"/>
        </w:rPr>
        <w:t xml:space="preserve"> </w:t>
      </w:r>
    </w:p>
    <w:p w14:paraId="7F1986CB">
      <w:pPr>
        <w:adjustRightInd w:val="0"/>
        <w:snapToGrid w:val="0"/>
        <w:spacing w:line="288" w:lineRule="auto"/>
        <w:ind w:firstLine="360" w:firstLineChars="100"/>
        <w:rPr>
          <w:rFonts w:eastAsia="仿宋_GB2312"/>
          <w:color w:val="auto"/>
          <w:spacing w:val="0"/>
          <w:position w:val="0"/>
          <w:sz w:val="36"/>
          <w:szCs w:val="36"/>
          <w:u w:val="single"/>
        </w:rPr>
      </w:pPr>
      <w:r>
        <w:rPr>
          <w:rFonts w:eastAsia="仿宋_GB2312"/>
          <w:color w:val="auto"/>
          <w:spacing w:val="0"/>
          <w:position w:val="0"/>
          <w:sz w:val="36"/>
          <w:szCs w:val="36"/>
        </w:rPr>
        <w:t>编制日期：</w:t>
      </w:r>
      <w:r>
        <w:rPr>
          <w:rFonts w:eastAsia="仿宋_GB2312"/>
          <w:color w:val="auto"/>
          <w:spacing w:val="0"/>
          <w:position w:val="0"/>
          <w:sz w:val="36"/>
          <w:szCs w:val="36"/>
          <w:u w:val="single"/>
        </w:rPr>
        <w:t xml:space="preserve">        </w:t>
      </w:r>
      <w:r>
        <w:rPr>
          <w:rFonts w:hint="eastAsia" w:eastAsia="仿宋_GB2312"/>
          <w:color w:val="auto"/>
          <w:spacing w:val="0"/>
          <w:position w:val="0"/>
          <w:sz w:val="36"/>
          <w:szCs w:val="36"/>
          <w:u w:val="single"/>
        </w:rPr>
        <w:t xml:space="preserve">  </w:t>
      </w:r>
      <w:r>
        <w:rPr>
          <w:rFonts w:eastAsia="仿宋_GB2312"/>
          <w:color w:val="auto"/>
          <w:spacing w:val="0"/>
          <w:position w:val="0"/>
          <w:sz w:val="36"/>
          <w:szCs w:val="36"/>
          <w:u w:val="single"/>
        </w:rPr>
        <w:t xml:space="preserve"> 202</w:t>
      </w:r>
      <w:r>
        <w:rPr>
          <w:rFonts w:hint="eastAsia" w:eastAsia="仿宋_GB2312"/>
          <w:color w:val="auto"/>
          <w:spacing w:val="0"/>
          <w:position w:val="0"/>
          <w:sz w:val="36"/>
          <w:szCs w:val="36"/>
          <w:u w:val="single"/>
          <w:lang w:val="en-US" w:eastAsia="zh-CN"/>
        </w:rPr>
        <w:t>5</w:t>
      </w:r>
      <w:r>
        <w:rPr>
          <w:rFonts w:eastAsia="仿宋_GB2312"/>
          <w:color w:val="auto"/>
          <w:spacing w:val="0"/>
          <w:position w:val="0"/>
          <w:sz w:val="36"/>
          <w:szCs w:val="36"/>
          <w:u w:val="single"/>
        </w:rPr>
        <w:t>年</w:t>
      </w:r>
      <w:r>
        <w:rPr>
          <w:rFonts w:hint="eastAsia" w:eastAsia="仿宋_GB2312"/>
          <w:color w:val="auto"/>
          <w:spacing w:val="0"/>
          <w:position w:val="0"/>
          <w:sz w:val="36"/>
          <w:szCs w:val="36"/>
          <w:u w:val="single"/>
          <w:lang w:val="en-US" w:eastAsia="zh-CN"/>
        </w:rPr>
        <w:t>2</w:t>
      </w:r>
      <w:r>
        <w:rPr>
          <w:rFonts w:eastAsia="仿宋_GB2312"/>
          <w:color w:val="auto"/>
          <w:spacing w:val="0"/>
          <w:position w:val="0"/>
          <w:sz w:val="36"/>
          <w:szCs w:val="36"/>
          <w:u w:val="single"/>
        </w:rPr>
        <w:t xml:space="preserve">月  </w:t>
      </w:r>
      <w:r>
        <w:rPr>
          <w:rFonts w:hint="eastAsia" w:eastAsia="仿宋_GB2312"/>
          <w:color w:val="auto"/>
          <w:spacing w:val="0"/>
          <w:position w:val="0"/>
          <w:sz w:val="36"/>
          <w:szCs w:val="36"/>
          <w:u w:val="single"/>
          <w:lang w:val="en-US" w:eastAsia="zh-CN"/>
        </w:rPr>
        <w:t xml:space="preserve"> </w:t>
      </w:r>
      <w:r>
        <w:rPr>
          <w:rFonts w:eastAsia="仿宋_GB2312"/>
          <w:color w:val="auto"/>
          <w:spacing w:val="0"/>
          <w:position w:val="0"/>
          <w:sz w:val="36"/>
          <w:szCs w:val="36"/>
          <w:u w:val="single"/>
        </w:rPr>
        <w:t xml:space="preserve">        </w:t>
      </w:r>
    </w:p>
    <w:p w14:paraId="123B610E">
      <w:pPr>
        <w:adjustRightInd w:val="0"/>
        <w:snapToGrid w:val="0"/>
        <w:spacing w:line="288" w:lineRule="auto"/>
        <w:rPr>
          <w:rFonts w:eastAsia="仿宋_GB2312"/>
          <w:color w:val="auto"/>
          <w:spacing w:val="0"/>
          <w:position w:val="0"/>
          <w:sz w:val="36"/>
          <w:szCs w:val="36"/>
          <w:u w:val="single"/>
        </w:rPr>
      </w:pPr>
      <w:bookmarkStart w:id="0" w:name="_Hlk57884087"/>
    </w:p>
    <w:p w14:paraId="377D77CF">
      <w:pPr>
        <w:adjustRightInd w:val="0"/>
        <w:snapToGrid w:val="0"/>
        <w:spacing w:line="288" w:lineRule="auto"/>
        <w:rPr>
          <w:rFonts w:eastAsia="仿宋_GB2312"/>
          <w:color w:val="auto"/>
          <w:spacing w:val="0"/>
          <w:position w:val="0"/>
          <w:sz w:val="36"/>
          <w:szCs w:val="36"/>
        </w:rPr>
      </w:pPr>
    </w:p>
    <w:p w14:paraId="24299C73">
      <w:pPr>
        <w:adjustRightInd w:val="0"/>
        <w:snapToGrid w:val="0"/>
        <w:spacing w:line="288" w:lineRule="auto"/>
        <w:rPr>
          <w:rFonts w:eastAsia="仿宋_GB2312"/>
          <w:color w:val="auto"/>
          <w:spacing w:val="0"/>
          <w:position w:val="0"/>
          <w:sz w:val="36"/>
          <w:szCs w:val="36"/>
        </w:rPr>
      </w:pPr>
    </w:p>
    <w:p w14:paraId="71A8C639">
      <w:pPr>
        <w:adjustRightInd w:val="0"/>
        <w:snapToGrid w:val="0"/>
        <w:spacing w:line="288" w:lineRule="auto"/>
        <w:rPr>
          <w:rFonts w:eastAsia="仿宋_GB2312"/>
          <w:color w:val="auto"/>
          <w:spacing w:val="0"/>
          <w:position w:val="0"/>
          <w:sz w:val="36"/>
          <w:szCs w:val="36"/>
        </w:rPr>
      </w:pPr>
    </w:p>
    <w:bookmarkEnd w:id="0"/>
    <w:p w14:paraId="3636E9B4">
      <w:pPr>
        <w:adjustRightInd w:val="0"/>
        <w:snapToGrid w:val="0"/>
        <w:spacing w:line="288" w:lineRule="auto"/>
        <w:jc w:val="center"/>
        <w:rPr>
          <w:rFonts w:eastAsia="楷体_GB2312"/>
          <w:color w:val="auto"/>
          <w:spacing w:val="0"/>
          <w:position w:val="0"/>
          <w:sz w:val="36"/>
          <w:szCs w:val="36"/>
        </w:rPr>
      </w:pPr>
    </w:p>
    <w:p w14:paraId="2B26F7C3">
      <w:pPr>
        <w:adjustRightInd w:val="0"/>
        <w:snapToGrid w:val="0"/>
        <w:spacing w:line="288" w:lineRule="auto"/>
        <w:ind w:firstLine="0" w:firstLineChars="0"/>
        <w:jc w:val="center"/>
        <w:rPr>
          <w:rFonts w:eastAsia="楷体_GB2312"/>
          <w:color w:val="auto"/>
          <w:spacing w:val="0"/>
          <w:position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color w:val="auto"/>
          <w:spacing w:val="0"/>
          <w:position w:val="0"/>
          <w:sz w:val="36"/>
          <w:szCs w:val="36"/>
        </w:rPr>
        <w:t>中华人民共和国生态环境部制</w:t>
      </w:r>
    </w:p>
    <w:p w14:paraId="0601C26B">
      <w:pPr>
        <w:rPr>
          <w:rFonts w:hint="eastAsia" w:eastAsia="仿宋_GB2312"/>
          <w:color w:val="0000FF"/>
          <w:spacing w:val="0"/>
          <w:position w:val="0"/>
          <w:sz w:val="36"/>
          <w:szCs w:val="36"/>
          <w:lang w:eastAsia="zh-CN"/>
        </w:rPr>
      </w:pPr>
    </w:p>
    <w:p w14:paraId="497E58D6">
      <w:pPr>
        <w:pStyle w:val="25"/>
        <w:ind w:firstLine="0" w:firstLineChars="0"/>
        <w:jc w:val="center"/>
        <w:outlineLvl w:val="0"/>
        <w:rPr>
          <w:rFonts w:hint="eastAsia" w:ascii="Times New Roman" w:hAnsi="Times New Roman" w:eastAsia="黑体"/>
          <w:snapToGrid w:val="0"/>
          <w:color w:val="auto"/>
          <w:spacing w:val="0"/>
          <w:position w:val="0"/>
          <w:sz w:val="30"/>
          <w:szCs w:val="30"/>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9E3B1C1">
      <w:pPr>
        <w:pStyle w:val="25"/>
        <w:ind w:firstLine="0" w:firstLineChars="0"/>
        <w:jc w:val="center"/>
        <w:outlineLvl w:val="0"/>
        <w:rPr>
          <w:rFonts w:ascii="Times New Roman" w:hAnsi="Times New Roman" w:eastAsia="黑体"/>
          <w:snapToGrid w:val="0"/>
          <w:color w:val="auto"/>
          <w:spacing w:val="0"/>
          <w:position w:val="0"/>
          <w:sz w:val="30"/>
          <w:szCs w:val="30"/>
        </w:rPr>
      </w:pPr>
      <w:r>
        <w:rPr>
          <w:rFonts w:hint="eastAsia" w:ascii="Times New Roman" w:hAnsi="Times New Roman" w:eastAsia="黑体"/>
          <w:snapToGrid w:val="0"/>
          <w:color w:val="auto"/>
          <w:spacing w:val="0"/>
          <w:position w:val="0"/>
          <w:sz w:val="30"/>
          <w:szCs w:val="30"/>
        </w:rPr>
        <w:t>一</w:t>
      </w:r>
      <w:r>
        <w:rPr>
          <w:rFonts w:ascii="Times New Roman" w:hAnsi="Times New Roman" w:eastAsia="黑体"/>
          <w:snapToGrid w:val="0"/>
          <w:color w:val="auto"/>
          <w:spacing w:val="0"/>
          <w:position w:val="0"/>
          <w:sz w:val="30"/>
          <w:szCs w:val="30"/>
        </w:rPr>
        <w:t>、建设项目基本情况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73"/>
        <w:gridCol w:w="2209"/>
        <w:gridCol w:w="1252"/>
        <w:gridCol w:w="3636"/>
      </w:tblGrid>
      <w:tr w14:paraId="3B32D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1773" w:type="dxa"/>
            <w:tcMar>
              <w:top w:w="16" w:type="dxa"/>
              <w:left w:w="16" w:type="dxa"/>
              <w:right w:w="16" w:type="dxa"/>
            </w:tcMar>
            <w:vAlign w:val="center"/>
          </w:tcPr>
          <w:p w14:paraId="044C41F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建设项目名称</w:t>
            </w:r>
          </w:p>
        </w:tc>
        <w:tc>
          <w:tcPr>
            <w:tcW w:w="7097" w:type="dxa"/>
            <w:gridSpan w:val="3"/>
            <w:vAlign w:val="center"/>
          </w:tcPr>
          <w:p w14:paraId="23EBC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秦丰环保科技有限公司PPR塑料管加工生产线项目</w:t>
            </w:r>
          </w:p>
        </w:tc>
      </w:tr>
      <w:tr w14:paraId="3CB78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3" w:type="dxa"/>
            <w:tcMar>
              <w:top w:w="16" w:type="dxa"/>
              <w:left w:w="16" w:type="dxa"/>
              <w:right w:w="16" w:type="dxa"/>
            </w:tcMar>
            <w:vAlign w:val="center"/>
          </w:tcPr>
          <w:p w14:paraId="38416B9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项目代码</w:t>
            </w:r>
          </w:p>
        </w:tc>
        <w:tc>
          <w:tcPr>
            <w:tcW w:w="7097" w:type="dxa"/>
            <w:gridSpan w:val="3"/>
            <w:vAlign w:val="center"/>
          </w:tcPr>
          <w:p w14:paraId="7EBB56A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rPr>
              <w:t>2412-660792-04-01-4</w:t>
            </w:r>
            <w:r>
              <w:rPr>
                <w:rFonts w:hint="eastAsia"/>
                <w:color w:val="auto"/>
                <w:spacing w:val="0"/>
                <w:position w:val="0"/>
                <w:sz w:val="21"/>
                <w:szCs w:val="21"/>
                <w:lang w:val="en-US" w:eastAsia="zh-CN"/>
              </w:rPr>
              <w:t>44054</w:t>
            </w:r>
          </w:p>
        </w:tc>
      </w:tr>
      <w:tr w14:paraId="7B387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773" w:type="dxa"/>
            <w:tcMar>
              <w:top w:w="16" w:type="dxa"/>
              <w:left w:w="16" w:type="dxa"/>
              <w:right w:w="16" w:type="dxa"/>
            </w:tcMar>
            <w:vAlign w:val="center"/>
          </w:tcPr>
          <w:p w14:paraId="64D9494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建设单位联系人</w:t>
            </w:r>
          </w:p>
        </w:tc>
        <w:tc>
          <w:tcPr>
            <w:tcW w:w="2209" w:type="dxa"/>
            <w:vAlign w:val="center"/>
          </w:tcPr>
          <w:p w14:paraId="20B3242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龚英</w:t>
            </w:r>
          </w:p>
        </w:tc>
        <w:tc>
          <w:tcPr>
            <w:tcW w:w="1252" w:type="dxa"/>
            <w:vAlign w:val="center"/>
          </w:tcPr>
          <w:p w14:paraId="64C990E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联系方式</w:t>
            </w:r>
          </w:p>
        </w:tc>
        <w:tc>
          <w:tcPr>
            <w:tcW w:w="3636" w:type="dxa"/>
            <w:vAlign w:val="center"/>
          </w:tcPr>
          <w:p w14:paraId="1A9A57F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18009928656</w:t>
            </w:r>
          </w:p>
        </w:tc>
      </w:tr>
      <w:tr w14:paraId="508DA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3" w:type="dxa"/>
            <w:tcMar>
              <w:top w:w="16" w:type="dxa"/>
              <w:left w:w="16" w:type="dxa"/>
              <w:right w:w="16" w:type="dxa"/>
            </w:tcMar>
            <w:vAlign w:val="center"/>
          </w:tcPr>
          <w:p w14:paraId="7ACB2BA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建设地点</w:t>
            </w:r>
          </w:p>
        </w:tc>
        <w:tc>
          <w:tcPr>
            <w:tcW w:w="7097" w:type="dxa"/>
            <w:gridSpan w:val="3"/>
            <w:vAlign w:val="center"/>
          </w:tcPr>
          <w:p w14:paraId="6017AE5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新疆</w:t>
            </w:r>
            <w:r>
              <w:rPr>
                <w:rFonts w:hint="eastAsia" w:cs="Times New Roman"/>
                <w:b w:val="0"/>
                <w:bCs/>
                <w:color w:val="auto"/>
                <w:spacing w:val="0"/>
                <w:position w:val="0"/>
                <w:sz w:val="21"/>
                <w:szCs w:val="21"/>
                <w:lang w:val="en-US" w:eastAsia="zh-CN"/>
              </w:rPr>
              <w:t>生产建设兵团第七师</w:t>
            </w:r>
            <w:r>
              <w:rPr>
                <w:rFonts w:hint="eastAsia" w:ascii="Times New Roman" w:hAnsi="Times New Roman" w:cs="Times New Roman"/>
                <w:b w:val="0"/>
                <w:bCs/>
                <w:color w:val="auto"/>
                <w:spacing w:val="0"/>
                <w:position w:val="0"/>
                <w:sz w:val="21"/>
                <w:szCs w:val="21"/>
                <w:lang w:val="en-US" w:eastAsia="zh-CN"/>
              </w:rPr>
              <w:t>胡杨河市天北经济技术开发区（北区）支一路401号</w:t>
            </w:r>
          </w:p>
          <w:p w14:paraId="5DE997F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highlight w:val="none"/>
              </w:rPr>
              <w:t>（详见附图1项目区地理位</w:t>
            </w:r>
            <w:r>
              <w:rPr>
                <w:rFonts w:hint="eastAsia" w:ascii="Times New Roman" w:hAnsi="Times New Roman" w:eastAsia="宋体" w:cs="Times New Roman"/>
                <w:color w:val="auto"/>
                <w:spacing w:val="0"/>
                <w:position w:val="0"/>
                <w:sz w:val="21"/>
                <w:szCs w:val="21"/>
                <w:highlight w:val="none"/>
                <w:lang w:val="en-US" w:eastAsia="zh-CN"/>
              </w:rPr>
              <w:t>置</w:t>
            </w:r>
            <w:r>
              <w:rPr>
                <w:rFonts w:hint="default" w:ascii="Times New Roman" w:hAnsi="Times New Roman" w:eastAsia="宋体" w:cs="Times New Roman"/>
                <w:color w:val="auto"/>
                <w:spacing w:val="0"/>
                <w:position w:val="0"/>
                <w:sz w:val="21"/>
                <w:szCs w:val="21"/>
                <w:highlight w:val="none"/>
              </w:rPr>
              <w:t>图、附图2项目区卫星影像及周边关系图）</w:t>
            </w:r>
          </w:p>
        </w:tc>
      </w:tr>
      <w:tr w14:paraId="71EB6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3" w:type="dxa"/>
            <w:tcMar>
              <w:top w:w="16" w:type="dxa"/>
              <w:left w:w="16" w:type="dxa"/>
              <w:right w:w="16" w:type="dxa"/>
            </w:tcMar>
            <w:vAlign w:val="center"/>
          </w:tcPr>
          <w:p w14:paraId="20260F5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地理坐标</w:t>
            </w:r>
          </w:p>
        </w:tc>
        <w:tc>
          <w:tcPr>
            <w:tcW w:w="7097" w:type="dxa"/>
            <w:gridSpan w:val="3"/>
            <w:vAlign w:val="center"/>
          </w:tcPr>
          <w:p w14:paraId="7D3367F7">
            <w:pPr>
              <w:keepNext w:val="0"/>
              <w:keepLines w:val="0"/>
              <w:pageBreakBefore w:val="0"/>
              <w:widowControl w:val="0"/>
              <w:kinsoku/>
              <w:wordWrap/>
              <w:overflowPunct/>
              <w:topLinePunct w:val="0"/>
              <w:bidi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w:t>
            </w:r>
            <w:r>
              <w:rPr>
                <w:rFonts w:hint="eastAsia"/>
                <w:color w:val="auto"/>
                <w:spacing w:val="0"/>
                <w:position w:val="0"/>
                <w:sz w:val="21"/>
                <w:szCs w:val="21"/>
              </w:rPr>
              <w:t>东经：</w:t>
            </w:r>
            <w:r>
              <w:rPr>
                <w:rFonts w:hint="default" w:ascii="Times New Roman" w:hAnsi="Times New Roman" w:cs="Times New Roman"/>
                <w:b w:val="0"/>
                <w:bCs/>
                <w:color w:val="auto"/>
                <w:spacing w:val="0"/>
                <w:position w:val="0"/>
                <w:sz w:val="21"/>
                <w:szCs w:val="21"/>
                <w:u w:val="single"/>
                <w:lang w:val="en-US" w:eastAsia="zh-CN"/>
              </w:rPr>
              <w:t>85</w:t>
            </w:r>
            <w:r>
              <w:rPr>
                <w:rFonts w:hint="eastAsia" w:cs="Times New Roman"/>
                <w:b w:val="0"/>
                <w:bCs/>
                <w:color w:val="auto"/>
                <w:spacing w:val="0"/>
                <w:position w:val="0"/>
                <w:sz w:val="21"/>
                <w:szCs w:val="21"/>
                <w:u w:val="none"/>
                <w:lang w:val="en-US" w:eastAsia="zh-CN"/>
              </w:rPr>
              <w:t>度</w:t>
            </w:r>
            <w:r>
              <w:rPr>
                <w:rFonts w:hint="default" w:ascii="Times New Roman" w:hAnsi="Times New Roman" w:cs="Times New Roman"/>
                <w:b w:val="0"/>
                <w:bCs/>
                <w:color w:val="auto"/>
                <w:spacing w:val="0"/>
                <w:position w:val="0"/>
                <w:sz w:val="21"/>
                <w:szCs w:val="21"/>
                <w:u w:val="single"/>
                <w:lang w:val="en-US" w:eastAsia="zh-CN"/>
              </w:rPr>
              <w:t>0</w:t>
            </w:r>
            <w:r>
              <w:rPr>
                <w:rFonts w:hint="eastAsia" w:cs="Times New Roman"/>
                <w:b w:val="0"/>
                <w:bCs/>
                <w:color w:val="auto"/>
                <w:spacing w:val="0"/>
                <w:position w:val="0"/>
                <w:sz w:val="21"/>
                <w:szCs w:val="21"/>
                <w:u w:val="none"/>
                <w:lang w:val="en-US" w:eastAsia="zh-CN"/>
              </w:rPr>
              <w:t>分</w:t>
            </w:r>
            <w:r>
              <w:rPr>
                <w:rFonts w:hint="default" w:ascii="Times New Roman" w:hAnsi="Times New Roman" w:cs="Times New Roman"/>
                <w:b w:val="0"/>
                <w:bCs/>
                <w:color w:val="auto"/>
                <w:spacing w:val="0"/>
                <w:position w:val="0"/>
                <w:sz w:val="21"/>
                <w:szCs w:val="21"/>
                <w:u w:val="single"/>
                <w:lang w:val="en-US" w:eastAsia="zh-CN"/>
              </w:rPr>
              <w:t>8.661</w:t>
            </w:r>
            <w:r>
              <w:rPr>
                <w:rFonts w:hint="eastAsia" w:cs="Times New Roman"/>
                <w:b w:val="0"/>
                <w:bCs/>
                <w:color w:val="auto"/>
                <w:spacing w:val="0"/>
                <w:position w:val="0"/>
                <w:sz w:val="21"/>
                <w:szCs w:val="21"/>
                <w:u w:val="none"/>
                <w:lang w:val="en-US" w:eastAsia="zh-CN"/>
              </w:rPr>
              <w:t>秒</w:t>
            </w:r>
            <w:r>
              <w:rPr>
                <w:rFonts w:hint="eastAsia"/>
                <w:color w:val="auto"/>
                <w:spacing w:val="0"/>
                <w:position w:val="0"/>
                <w:sz w:val="21"/>
                <w:szCs w:val="21"/>
                <w:u w:val="none"/>
              </w:rPr>
              <w:t>，北纬：</w:t>
            </w:r>
            <w:r>
              <w:rPr>
                <w:rFonts w:hint="default" w:ascii="Times New Roman" w:hAnsi="Times New Roman" w:cs="Times New Roman"/>
                <w:b w:val="0"/>
                <w:bCs/>
                <w:color w:val="auto"/>
                <w:spacing w:val="0"/>
                <w:position w:val="0"/>
                <w:sz w:val="21"/>
                <w:szCs w:val="21"/>
                <w:u w:val="single"/>
                <w:lang w:val="en-US" w:eastAsia="zh-CN"/>
              </w:rPr>
              <w:t>44</w:t>
            </w:r>
            <w:r>
              <w:rPr>
                <w:rFonts w:hint="eastAsia" w:cs="Times New Roman"/>
                <w:b w:val="0"/>
                <w:bCs/>
                <w:color w:val="auto"/>
                <w:spacing w:val="0"/>
                <w:position w:val="0"/>
                <w:sz w:val="21"/>
                <w:szCs w:val="21"/>
                <w:u w:val="none"/>
                <w:lang w:val="en-US" w:eastAsia="zh-CN"/>
              </w:rPr>
              <w:t>度</w:t>
            </w:r>
            <w:r>
              <w:rPr>
                <w:rFonts w:hint="default" w:ascii="Times New Roman" w:hAnsi="Times New Roman" w:cs="Times New Roman"/>
                <w:b w:val="0"/>
                <w:bCs/>
                <w:color w:val="auto"/>
                <w:spacing w:val="0"/>
                <w:position w:val="0"/>
                <w:sz w:val="21"/>
                <w:szCs w:val="21"/>
                <w:u w:val="single"/>
                <w:lang w:val="en-US" w:eastAsia="zh-CN"/>
              </w:rPr>
              <w:t>34</w:t>
            </w:r>
            <w:r>
              <w:rPr>
                <w:rFonts w:hint="eastAsia" w:cs="Times New Roman"/>
                <w:b w:val="0"/>
                <w:bCs/>
                <w:color w:val="auto"/>
                <w:spacing w:val="0"/>
                <w:position w:val="0"/>
                <w:sz w:val="21"/>
                <w:szCs w:val="21"/>
                <w:u w:val="none"/>
                <w:lang w:val="en-US" w:eastAsia="zh-CN"/>
              </w:rPr>
              <w:t>分</w:t>
            </w:r>
            <w:r>
              <w:rPr>
                <w:rFonts w:hint="default" w:ascii="Times New Roman" w:hAnsi="Times New Roman" w:cs="Times New Roman"/>
                <w:b w:val="0"/>
                <w:bCs/>
                <w:color w:val="auto"/>
                <w:spacing w:val="0"/>
                <w:position w:val="0"/>
                <w:sz w:val="21"/>
                <w:szCs w:val="21"/>
                <w:u w:val="single"/>
                <w:lang w:val="en-US" w:eastAsia="zh-CN"/>
              </w:rPr>
              <w:t>40.451</w:t>
            </w:r>
            <w:r>
              <w:rPr>
                <w:rFonts w:hint="eastAsia" w:cs="Times New Roman"/>
                <w:b w:val="0"/>
                <w:bCs/>
                <w:color w:val="auto"/>
                <w:spacing w:val="0"/>
                <w:position w:val="0"/>
                <w:sz w:val="21"/>
                <w:szCs w:val="21"/>
                <w:u w:val="none"/>
                <w:lang w:val="en-US" w:eastAsia="zh-CN"/>
              </w:rPr>
              <w:t>秒</w:t>
            </w:r>
            <w:r>
              <w:rPr>
                <w:color w:val="auto"/>
                <w:spacing w:val="0"/>
                <w:position w:val="0"/>
                <w:sz w:val="21"/>
                <w:szCs w:val="21"/>
              </w:rPr>
              <w:t>）</w:t>
            </w:r>
          </w:p>
        </w:tc>
      </w:tr>
      <w:tr w14:paraId="52564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73" w:type="dxa"/>
            <w:tcMar>
              <w:top w:w="16" w:type="dxa"/>
              <w:left w:w="16" w:type="dxa"/>
              <w:right w:w="16" w:type="dxa"/>
            </w:tcMar>
            <w:vAlign w:val="center"/>
          </w:tcPr>
          <w:p w14:paraId="7A93AF8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国民经济</w:t>
            </w:r>
          </w:p>
          <w:p w14:paraId="73801B7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0000FF"/>
                <w:spacing w:val="0"/>
                <w:position w:val="0"/>
                <w:sz w:val="21"/>
                <w:szCs w:val="21"/>
              </w:rPr>
            </w:pPr>
            <w:r>
              <w:rPr>
                <w:color w:val="auto"/>
                <w:spacing w:val="0"/>
                <w:position w:val="0"/>
                <w:sz w:val="21"/>
                <w:szCs w:val="21"/>
              </w:rPr>
              <w:t>行业类别</w:t>
            </w:r>
          </w:p>
        </w:tc>
        <w:tc>
          <w:tcPr>
            <w:tcW w:w="2209" w:type="dxa"/>
            <w:vAlign w:val="center"/>
          </w:tcPr>
          <w:p w14:paraId="37D59F9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olor w:val="0000FF"/>
                <w:spacing w:val="0"/>
                <w:position w:val="0"/>
                <w:sz w:val="21"/>
                <w:szCs w:val="21"/>
                <w:lang w:eastAsia="zh-CN"/>
              </w:rPr>
            </w:pPr>
            <w:r>
              <w:rPr>
                <w:rFonts w:hint="default"/>
                <w:color w:val="auto"/>
                <w:spacing w:val="0"/>
                <w:position w:val="0"/>
                <w:sz w:val="21"/>
                <w:szCs w:val="21"/>
                <w:lang w:val="en-US" w:eastAsia="zh-CN"/>
              </w:rPr>
              <w:t>C292</w:t>
            </w:r>
            <w:r>
              <w:rPr>
                <w:rFonts w:hint="eastAsia"/>
                <w:color w:val="auto"/>
                <w:spacing w:val="0"/>
                <w:position w:val="0"/>
                <w:sz w:val="21"/>
                <w:szCs w:val="21"/>
                <w:lang w:val="en-US" w:eastAsia="zh-CN"/>
              </w:rPr>
              <w:t>2塑料板、管、型材制造；</w:t>
            </w:r>
            <w:r>
              <w:rPr>
                <w:rFonts w:hint="default"/>
                <w:color w:val="auto"/>
                <w:spacing w:val="0"/>
                <w:position w:val="0"/>
                <w:sz w:val="21"/>
                <w:szCs w:val="21"/>
                <w:lang w:val="en-US" w:eastAsia="zh-CN"/>
              </w:rPr>
              <w:t>C292</w:t>
            </w:r>
            <w:r>
              <w:rPr>
                <w:rFonts w:hint="eastAsia"/>
                <w:color w:val="auto"/>
                <w:spacing w:val="0"/>
                <w:position w:val="0"/>
                <w:sz w:val="21"/>
                <w:szCs w:val="21"/>
                <w:lang w:val="en-US" w:eastAsia="zh-CN"/>
              </w:rPr>
              <w:t>3塑料丝、绳及编织品制造</w:t>
            </w:r>
          </w:p>
        </w:tc>
        <w:tc>
          <w:tcPr>
            <w:tcW w:w="1252" w:type="dxa"/>
            <w:vAlign w:val="center"/>
          </w:tcPr>
          <w:p w14:paraId="4BBBCD3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bookmarkStart w:id="1" w:name="_Hlk49843745"/>
            <w:r>
              <w:rPr>
                <w:color w:val="auto"/>
                <w:spacing w:val="0"/>
                <w:position w:val="0"/>
                <w:sz w:val="21"/>
                <w:szCs w:val="21"/>
              </w:rPr>
              <w:t>建设项目</w:t>
            </w:r>
          </w:p>
          <w:p w14:paraId="582071E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行业类别</w:t>
            </w:r>
            <w:bookmarkEnd w:id="1"/>
          </w:p>
        </w:tc>
        <w:tc>
          <w:tcPr>
            <w:tcW w:w="3636" w:type="dxa"/>
            <w:vAlign w:val="center"/>
          </w:tcPr>
          <w:p w14:paraId="3682D79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lang w:val="en-US" w:eastAsia="zh-CN"/>
              </w:rPr>
              <w:t>二十六、橡胶和塑料制品</w:t>
            </w:r>
            <w:r>
              <w:rPr>
                <w:rFonts w:hint="eastAsia"/>
                <w:color w:val="auto"/>
                <w:spacing w:val="0"/>
                <w:position w:val="0"/>
                <w:sz w:val="21"/>
                <w:szCs w:val="21"/>
                <w:lang w:val="en-US" w:eastAsia="zh-CN"/>
              </w:rPr>
              <w:t>业</w:t>
            </w:r>
            <w:r>
              <w:rPr>
                <w:rFonts w:hint="default"/>
                <w:color w:val="auto"/>
                <w:spacing w:val="0"/>
                <w:position w:val="0"/>
                <w:sz w:val="21"/>
                <w:szCs w:val="21"/>
                <w:lang w:val="en-US" w:eastAsia="zh-CN"/>
              </w:rPr>
              <w:t>29</w:t>
            </w:r>
            <w:r>
              <w:rPr>
                <w:rFonts w:hint="eastAsia"/>
                <w:color w:val="auto"/>
                <w:spacing w:val="0"/>
                <w:position w:val="0"/>
                <w:sz w:val="21"/>
                <w:szCs w:val="21"/>
                <w:lang w:val="en-US" w:eastAsia="zh-CN"/>
              </w:rPr>
              <w:t>，</w:t>
            </w:r>
            <w:r>
              <w:rPr>
                <w:rFonts w:hint="default"/>
                <w:color w:val="auto"/>
                <w:spacing w:val="0"/>
                <w:position w:val="0"/>
                <w:sz w:val="21"/>
                <w:szCs w:val="21"/>
                <w:lang w:val="en-US" w:eastAsia="zh-CN"/>
              </w:rPr>
              <w:t>53.</w:t>
            </w:r>
            <w:r>
              <w:rPr>
                <w:rFonts w:hint="eastAsia"/>
                <w:color w:val="auto"/>
                <w:spacing w:val="0"/>
                <w:position w:val="0"/>
                <w:sz w:val="21"/>
                <w:szCs w:val="21"/>
                <w:lang w:val="en-US" w:eastAsia="zh-CN"/>
              </w:rPr>
              <w:t>塑料制品业</w:t>
            </w:r>
            <w:r>
              <w:rPr>
                <w:rFonts w:hint="default"/>
                <w:color w:val="auto"/>
                <w:spacing w:val="0"/>
                <w:position w:val="0"/>
                <w:sz w:val="21"/>
                <w:szCs w:val="21"/>
                <w:lang w:val="en-US" w:eastAsia="zh-CN"/>
              </w:rPr>
              <w:t>292</w:t>
            </w:r>
            <w:r>
              <w:rPr>
                <w:rFonts w:hint="eastAsia"/>
                <w:color w:val="auto"/>
                <w:spacing w:val="0"/>
                <w:position w:val="0"/>
                <w:sz w:val="21"/>
                <w:szCs w:val="21"/>
                <w:lang w:val="en-US" w:eastAsia="zh-CN"/>
              </w:rPr>
              <w:t>，其他（年用非溶剂型第</w:t>
            </w:r>
            <w:r>
              <w:rPr>
                <w:rFonts w:hint="default"/>
                <w:color w:val="auto"/>
                <w:spacing w:val="0"/>
                <w:position w:val="0"/>
                <w:sz w:val="21"/>
                <w:szCs w:val="21"/>
                <w:lang w:val="en-US" w:eastAsia="zh-CN"/>
              </w:rPr>
              <w:t>VOCs</w:t>
            </w:r>
            <w:r>
              <w:rPr>
                <w:rFonts w:hint="eastAsia"/>
                <w:color w:val="auto"/>
                <w:spacing w:val="0"/>
                <w:position w:val="0"/>
                <w:sz w:val="21"/>
                <w:szCs w:val="21"/>
                <w:lang w:val="en-US" w:eastAsia="zh-CN"/>
              </w:rPr>
              <w:t>含量涂料</w:t>
            </w:r>
            <w:r>
              <w:rPr>
                <w:rFonts w:hint="default"/>
                <w:color w:val="auto"/>
                <w:spacing w:val="0"/>
                <w:position w:val="0"/>
                <w:sz w:val="21"/>
                <w:szCs w:val="21"/>
                <w:lang w:val="en-US" w:eastAsia="zh-CN"/>
              </w:rPr>
              <w:t>10</w:t>
            </w:r>
            <w:r>
              <w:rPr>
                <w:rFonts w:hint="eastAsia"/>
                <w:color w:val="auto"/>
                <w:spacing w:val="0"/>
                <w:position w:val="0"/>
                <w:sz w:val="21"/>
                <w:szCs w:val="21"/>
                <w:lang w:val="en-US" w:eastAsia="zh-CN"/>
              </w:rPr>
              <w:t>吨以下的除外）</w:t>
            </w:r>
          </w:p>
        </w:tc>
      </w:tr>
      <w:tr w14:paraId="3340F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63" w:hRule="atLeast"/>
          <w:jc w:val="center"/>
        </w:trPr>
        <w:tc>
          <w:tcPr>
            <w:tcW w:w="1773" w:type="dxa"/>
            <w:tcMar>
              <w:top w:w="16" w:type="dxa"/>
              <w:left w:w="16" w:type="dxa"/>
              <w:right w:w="16" w:type="dxa"/>
            </w:tcMar>
            <w:vAlign w:val="center"/>
          </w:tcPr>
          <w:p w14:paraId="331F7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建设性质</w:t>
            </w:r>
          </w:p>
        </w:tc>
        <w:tc>
          <w:tcPr>
            <w:tcW w:w="2209" w:type="dxa"/>
            <w:vAlign w:val="center"/>
          </w:tcPr>
          <w:p w14:paraId="23DF5FA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新建（迁建）</w:t>
            </w:r>
          </w:p>
          <w:p w14:paraId="198C9219">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改建</w:t>
            </w:r>
          </w:p>
          <w:p w14:paraId="28A2A046">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扩建</w:t>
            </w:r>
          </w:p>
          <w:p w14:paraId="1CE5F1A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技术改造</w:t>
            </w:r>
          </w:p>
        </w:tc>
        <w:tc>
          <w:tcPr>
            <w:tcW w:w="1252" w:type="dxa"/>
            <w:vAlign w:val="center"/>
          </w:tcPr>
          <w:p w14:paraId="16877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建设项目</w:t>
            </w:r>
          </w:p>
          <w:p w14:paraId="46D62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申报情形</w:t>
            </w:r>
          </w:p>
        </w:tc>
        <w:tc>
          <w:tcPr>
            <w:tcW w:w="3636" w:type="dxa"/>
            <w:vAlign w:val="center"/>
          </w:tcPr>
          <w:p w14:paraId="00B4061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首次申报项目</w:t>
            </w:r>
          </w:p>
          <w:p w14:paraId="2E3BE3F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不予批准后再次申报项目</w:t>
            </w:r>
          </w:p>
          <w:p w14:paraId="23314B3F">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超五年重新审核项目</w:t>
            </w:r>
          </w:p>
          <w:p w14:paraId="0A0F6C2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重大变动重新报批项目</w:t>
            </w:r>
          </w:p>
        </w:tc>
      </w:tr>
      <w:tr w14:paraId="7E499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73" w:type="dxa"/>
            <w:tcMar>
              <w:top w:w="16" w:type="dxa"/>
              <w:left w:w="16" w:type="dxa"/>
              <w:right w:w="16" w:type="dxa"/>
            </w:tcMar>
            <w:vAlign w:val="center"/>
          </w:tcPr>
          <w:p w14:paraId="00C03D8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项目审批（核准/备案）部门（选填）</w:t>
            </w:r>
          </w:p>
        </w:tc>
        <w:tc>
          <w:tcPr>
            <w:tcW w:w="2209" w:type="dxa"/>
            <w:vAlign w:val="center"/>
          </w:tcPr>
          <w:p w14:paraId="28905E8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天北经济技术开发区管理委员会经济发展局</w:t>
            </w:r>
          </w:p>
        </w:tc>
        <w:tc>
          <w:tcPr>
            <w:tcW w:w="1252" w:type="dxa"/>
            <w:vAlign w:val="center"/>
          </w:tcPr>
          <w:p w14:paraId="417B265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项目审批（核准/备案）文号（选填）</w:t>
            </w:r>
          </w:p>
        </w:tc>
        <w:tc>
          <w:tcPr>
            <w:tcW w:w="3636" w:type="dxa"/>
            <w:vAlign w:val="center"/>
          </w:tcPr>
          <w:p w14:paraId="1EBADA0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天北经开区</w:t>
            </w:r>
            <w:r>
              <w:rPr>
                <w:rFonts w:hint="eastAsia"/>
                <w:color w:val="auto"/>
                <w:spacing w:val="0"/>
                <w:position w:val="0"/>
                <w:sz w:val="21"/>
                <w:szCs w:val="21"/>
                <w:lang w:val="en-US" w:eastAsia="zh-CN"/>
              </w:rPr>
              <w:t>（</w:t>
            </w:r>
            <w:r>
              <w:rPr>
                <w:rFonts w:hint="eastAsia"/>
                <w:color w:val="auto"/>
                <w:spacing w:val="0"/>
                <w:position w:val="0"/>
                <w:sz w:val="21"/>
                <w:szCs w:val="21"/>
              </w:rPr>
              <w:t>其他</w:t>
            </w:r>
            <w:r>
              <w:rPr>
                <w:rFonts w:hint="eastAsia"/>
                <w:color w:val="auto"/>
                <w:spacing w:val="0"/>
                <w:position w:val="0"/>
                <w:sz w:val="21"/>
                <w:szCs w:val="21"/>
                <w:lang w:val="en-US" w:eastAsia="zh-CN"/>
              </w:rPr>
              <w:t>）</w:t>
            </w:r>
            <w:r>
              <w:rPr>
                <w:rFonts w:hint="eastAsia"/>
                <w:color w:val="auto"/>
                <w:spacing w:val="0"/>
                <w:position w:val="0"/>
                <w:sz w:val="21"/>
                <w:szCs w:val="21"/>
              </w:rPr>
              <w:t>备</w:t>
            </w:r>
            <w:r>
              <w:rPr>
                <w:rFonts w:hint="eastAsia"/>
                <w:color w:val="auto"/>
                <w:spacing w:val="0"/>
                <w:position w:val="0"/>
                <w:sz w:val="21"/>
                <w:szCs w:val="21"/>
                <w:lang w:val="en-US" w:eastAsia="zh-CN"/>
              </w:rPr>
              <w:t>（</w:t>
            </w:r>
            <w:r>
              <w:rPr>
                <w:rFonts w:hint="eastAsia"/>
                <w:color w:val="auto"/>
                <w:spacing w:val="0"/>
                <w:position w:val="0"/>
                <w:sz w:val="21"/>
                <w:szCs w:val="21"/>
              </w:rPr>
              <w:t>2024</w:t>
            </w:r>
            <w:r>
              <w:rPr>
                <w:rFonts w:hint="eastAsia"/>
                <w:color w:val="auto"/>
                <w:spacing w:val="0"/>
                <w:position w:val="0"/>
                <w:sz w:val="21"/>
                <w:szCs w:val="21"/>
                <w:lang w:val="en-US" w:eastAsia="zh-CN"/>
              </w:rPr>
              <w:t>）</w:t>
            </w:r>
            <w:r>
              <w:rPr>
                <w:rFonts w:hint="eastAsia"/>
                <w:color w:val="auto"/>
                <w:spacing w:val="0"/>
                <w:position w:val="0"/>
                <w:sz w:val="21"/>
                <w:szCs w:val="21"/>
              </w:rPr>
              <w:t>83号</w:t>
            </w:r>
          </w:p>
        </w:tc>
      </w:tr>
      <w:tr w14:paraId="25885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3" w:type="dxa"/>
            <w:tcMar>
              <w:top w:w="16" w:type="dxa"/>
              <w:left w:w="16" w:type="dxa"/>
              <w:right w:w="16" w:type="dxa"/>
            </w:tcMar>
            <w:vAlign w:val="center"/>
          </w:tcPr>
          <w:p w14:paraId="76C0EFD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总投资（万元）</w:t>
            </w:r>
          </w:p>
        </w:tc>
        <w:tc>
          <w:tcPr>
            <w:tcW w:w="2209" w:type="dxa"/>
            <w:vAlign w:val="center"/>
          </w:tcPr>
          <w:p w14:paraId="3FA37FA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2000</w:t>
            </w:r>
          </w:p>
        </w:tc>
        <w:tc>
          <w:tcPr>
            <w:tcW w:w="1252" w:type="dxa"/>
            <w:tcMar>
              <w:top w:w="16" w:type="dxa"/>
              <w:left w:w="16" w:type="dxa"/>
              <w:right w:w="16" w:type="dxa"/>
            </w:tcMar>
            <w:vAlign w:val="center"/>
          </w:tcPr>
          <w:p w14:paraId="5447988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环保投资（万元）</w:t>
            </w:r>
          </w:p>
        </w:tc>
        <w:tc>
          <w:tcPr>
            <w:tcW w:w="3636" w:type="dxa"/>
            <w:vAlign w:val="center"/>
          </w:tcPr>
          <w:p w14:paraId="2F3E10E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25</w:t>
            </w:r>
          </w:p>
        </w:tc>
      </w:tr>
      <w:tr w14:paraId="318D7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3" w:type="dxa"/>
            <w:tcMar>
              <w:top w:w="16" w:type="dxa"/>
              <w:left w:w="16" w:type="dxa"/>
              <w:right w:w="16" w:type="dxa"/>
            </w:tcMar>
            <w:vAlign w:val="center"/>
          </w:tcPr>
          <w:p w14:paraId="07B3F56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环保投资占比（%）</w:t>
            </w:r>
          </w:p>
        </w:tc>
        <w:tc>
          <w:tcPr>
            <w:tcW w:w="2209" w:type="dxa"/>
            <w:vAlign w:val="center"/>
          </w:tcPr>
          <w:p w14:paraId="6B5AFE6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1.25</w:t>
            </w:r>
          </w:p>
        </w:tc>
        <w:tc>
          <w:tcPr>
            <w:tcW w:w="1252" w:type="dxa"/>
            <w:tcMar>
              <w:top w:w="16" w:type="dxa"/>
              <w:left w:w="16" w:type="dxa"/>
              <w:right w:w="16" w:type="dxa"/>
            </w:tcMar>
            <w:vAlign w:val="center"/>
          </w:tcPr>
          <w:p w14:paraId="232F830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施工工期</w:t>
            </w:r>
          </w:p>
        </w:tc>
        <w:tc>
          <w:tcPr>
            <w:tcW w:w="3636" w:type="dxa"/>
            <w:vAlign w:val="center"/>
          </w:tcPr>
          <w:p w14:paraId="3D9ED03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2个月</w:t>
            </w:r>
          </w:p>
        </w:tc>
      </w:tr>
      <w:tr w14:paraId="045E9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3" w:type="dxa"/>
            <w:tcMar>
              <w:top w:w="16" w:type="dxa"/>
              <w:left w:w="16" w:type="dxa"/>
              <w:right w:w="16" w:type="dxa"/>
            </w:tcMar>
            <w:vAlign w:val="center"/>
          </w:tcPr>
          <w:p w14:paraId="6FCA496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是否开工建设</w:t>
            </w:r>
          </w:p>
        </w:tc>
        <w:tc>
          <w:tcPr>
            <w:tcW w:w="2209" w:type="dxa"/>
            <w:vAlign w:val="center"/>
          </w:tcPr>
          <w:p w14:paraId="56A06829">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color w:val="auto"/>
                <w:spacing w:val="0"/>
                <w:position w:val="0"/>
                <w:sz w:val="21"/>
                <w:szCs w:val="21"/>
              </w:rPr>
              <w:t>否</w:t>
            </w:r>
          </w:p>
          <w:p w14:paraId="277D91AD">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spacing w:val="0"/>
                <w:position w:val="0"/>
                <w:sz w:val="21"/>
                <w:szCs w:val="21"/>
              </w:rPr>
            </w:pPr>
            <w:r>
              <w:rPr>
                <w:rFonts w:hint="eastAsia" w:ascii="宋体" w:hAnsi="宋体" w:cs="宋体"/>
                <w:color w:val="auto"/>
                <w:spacing w:val="0"/>
                <w:position w:val="0"/>
                <w:sz w:val="21"/>
                <w:szCs w:val="21"/>
                <w:lang w:eastAsia="zh-CN"/>
              </w:rPr>
              <w:t>□</w:t>
            </w:r>
            <w:r>
              <w:rPr>
                <w:rFonts w:hint="eastAsia"/>
                <w:color w:val="auto"/>
                <w:spacing w:val="0"/>
                <w:position w:val="0"/>
                <w:sz w:val="21"/>
                <w:szCs w:val="21"/>
              </w:rPr>
              <w:t>是</w:t>
            </w:r>
          </w:p>
        </w:tc>
        <w:tc>
          <w:tcPr>
            <w:tcW w:w="1252" w:type="dxa"/>
            <w:tcMar>
              <w:top w:w="16" w:type="dxa"/>
              <w:left w:w="16" w:type="dxa"/>
              <w:right w:w="16" w:type="dxa"/>
            </w:tcMar>
            <w:vAlign w:val="center"/>
          </w:tcPr>
          <w:p w14:paraId="4C93B4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用地（用海）</w:t>
            </w:r>
          </w:p>
          <w:p w14:paraId="4B995B7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pacing w:val="0"/>
                <w:position w:val="0"/>
                <w:sz w:val="21"/>
                <w:szCs w:val="21"/>
              </w:rPr>
            </w:pPr>
            <w:r>
              <w:rPr>
                <w:color w:val="auto"/>
                <w:spacing w:val="0"/>
                <w:position w:val="0"/>
                <w:sz w:val="21"/>
                <w:szCs w:val="21"/>
              </w:rPr>
              <w:t>面积（m</w:t>
            </w:r>
            <w:r>
              <w:rPr>
                <w:color w:val="auto"/>
                <w:spacing w:val="0"/>
                <w:position w:val="0"/>
                <w:sz w:val="21"/>
                <w:szCs w:val="21"/>
                <w:vertAlign w:val="superscript"/>
              </w:rPr>
              <w:t>2</w:t>
            </w:r>
            <w:r>
              <w:rPr>
                <w:color w:val="auto"/>
                <w:spacing w:val="0"/>
                <w:position w:val="0"/>
                <w:sz w:val="21"/>
                <w:szCs w:val="21"/>
              </w:rPr>
              <w:t>）</w:t>
            </w:r>
          </w:p>
        </w:tc>
        <w:tc>
          <w:tcPr>
            <w:tcW w:w="3636" w:type="dxa"/>
            <w:vAlign w:val="center"/>
          </w:tcPr>
          <w:p w14:paraId="1A29BB1E">
            <w:pPr>
              <w:keepNext w:val="0"/>
              <w:keepLines w:val="0"/>
              <w:pageBreakBefore w:val="0"/>
              <w:widowControl w:val="0"/>
              <w:tabs>
                <w:tab w:val="left" w:pos="209"/>
                <w:tab w:val="center" w:pos="1474"/>
              </w:tabs>
              <w:kinsoku/>
              <w:wordWrap/>
              <w:overflowPunct/>
              <w:topLinePunct w:val="0"/>
              <w:bidi w:val="0"/>
              <w:adjustRightInd w:val="0"/>
              <w:snapToGrid w:val="0"/>
              <w:spacing w:line="240" w:lineRule="auto"/>
              <w:ind w:firstLine="0" w:firstLineChars="0"/>
              <w:jc w:val="center"/>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1400</w:t>
            </w:r>
          </w:p>
        </w:tc>
      </w:tr>
      <w:tr w14:paraId="1C35C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773" w:type="dxa"/>
            <w:vAlign w:val="center"/>
          </w:tcPr>
          <w:p w14:paraId="19293E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专项评价设置情况</w:t>
            </w:r>
          </w:p>
        </w:tc>
        <w:tc>
          <w:tcPr>
            <w:tcW w:w="7097" w:type="dxa"/>
            <w:gridSpan w:val="3"/>
            <w:vAlign w:val="center"/>
          </w:tcPr>
          <w:p w14:paraId="408EF4E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无</w:t>
            </w:r>
          </w:p>
        </w:tc>
      </w:tr>
      <w:tr w14:paraId="19AC5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3" w:type="dxa"/>
            <w:vAlign w:val="center"/>
          </w:tcPr>
          <w:p w14:paraId="7C2150C3">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规划情况</w:t>
            </w:r>
          </w:p>
        </w:tc>
        <w:tc>
          <w:tcPr>
            <w:tcW w:w="7097" w:type="dxa"/>
            <w:gridSpan w:val="3"/>
            <w:vAlign w:val="center"/>
          </w:tcPr>
          <w:p w14:paraId="0B3CFBBB">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420" w:firstLineChars="200"/>
              <w:jc w:val="left"/>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2"/>
                <w:sz w:val="21"/>
                <w:szCs w:val="21"/>
                <w:lang w:val="en-US" w:eastAsia="zh-CN" w:bidi="ar-SA"/>
              </w:rPr>
              <w:t>一、</w:t>
            </w:r>
            <w:r>
              <w:rPr>
                <w:rFonts w:hint="default" w:ascii="Times New Roman" w:hAnsi="Times New Roman" w:eastAsia="宋体" w:cs="Times New Roman"/>
                <w:b/>
                <w:bCs/>
                <w:kern w:val="2"/>
                <w:sz w:val="21"/>
                <w:szCs w:val="21"/>
                <w:lang w:val="en-US" w:eastAsia="zh-CN" w:bidi="ar-SA"/>
              </w:rPr>
              <w:t>规划名称：</w:t>
            </w:r>
            <w:r>
              <w:rPr>
                <w:rFonts w:hint="default" w:ascii="Times New Roman" w:hAnsi="Times New Roman" w:eastAsia="宋体" w:cs="Times New Roman"/>
                <w:b w:val="0"/>
                <w:bCs w:val="0"/>
                <w:sz w:val="21"/>
                <w:szCs w:val="21"/>
              </w:rPr>
              <w:t>《第七师天北新区工业园区总体规划（2010-2030）》</w:t>
            </w:r>
          </w:p>
          <w:p w14:paraId="7A6DEDE7">
            <w:pPr>
              <w:pStyle w:val="5"/>
              <w:pageBreakBefore w:val="0"/>
              <w:widowControl w:val="0"/>
              <w:numPr>
                <w:ilvl w:val="0"/>
                <w:numId w:val="0"/>
              </w:numPr>
              <w:kinsoku/>
              <w:wordWrap/>
              <w:overflowPunct/>
              <w:topLinePunct w:val="0"/>
              <w:bidi w:val="0"/>
              <w:spacing w:before="0" w:after="0" w:line="360" w:lineRule="auto"/>
              <w:ind w:firstLine="422" w:firstLineChars="20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审批机关：</w:t>
            </w:r>
            <w:r>
              <w:rPr>
                <w:rFonts w:hint="default" w:ascii="Times New Roman" w:hAnsi="Times New Roman" w:eastAsia="宋体" w:cs="Times New Roman"/>
                <w:b w:val="0"/>
                <w:bCs w:val="0"/>
                <w:kern w:val="2"/>
                <w:sz w:val="21"/>
                <w:szCs w:val="21"/>
                <w:lang w:val="en-US" w:eastAsia="zh-CN" w:bidi="ar-SA"/>
              </w:rPr>
              <w:t>新疆生产建设兵团建设局</w:t>
            </w:r>
          </w:p>
          <w:p w14:paraId="59D52E59">
            <w:pPr>
              <w:pStyle w:val="5"/>
              <w:pageBreakBefore w:val="0"/>
              <w:widowControl w:val="0"/>
              <w:numPr>
                <w:ilvl w:val="0"/>
                <w:numId w:val="0"/>
              </w:numPr>
              <w:kinsoku/>
              <w:wordWrap/>
              <w:overflowPunct/>
              <w:topLinePunct w:val="0"/>
              <w:bidi w:val="0"/>
              <w:spacing w:before="0" w:after="0" w:line="360" w:lineRule="auto"/>
              <w:ind w:firstLine="422" w:firstLineChars="20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文号：</w:t>
            </w:r>
            <w:r>
              <w:rPr>
                <w:rFonts w:hint="default" w:ascii="Times New Roman" w:hAnsi="Times New Roman" w:eastAsia="宋体" w:cs="Times New Roman"/>
                <w:b w:val="0"/>
                <w:bCs w:val="0"/>
                <w:kern w:val="2"/>
                <w:sz w:val="21"/>
                <w:szCs w:val="21"/>
                <w:lang w:val="en-US" w:eastAsia="zh-CN" w:bidi="ar-SA"/>
              </w:rPr>
              <w:t>兵建规发[2011]19号</w:t>
            </w:r>
          </w:p>
          <w:p w14:paraId="6C4F250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left"/>
              <w:textAlignment w:val="auto"/>
              <w:rPr>
                <w:rFonts w:hint="default" w:eastAsia="宋体"/>
                <w:color w:val="auto"/>
                <w:spacing w:val="0"/>
                <w:kern w:val="0"/>
                <w:position w:val="0"/>
                <w:sz w:val="21"/>
                <w:szCs w:val="21"/>
                <w:lang w:val="en-US" w:eastAsia="zh-CN"/>
              </w:rPr>
            </w:pPr>
            <w:r>
              <w:rPr>
                <w:rFonts w:hint="default" w:ascii="Times New Roman" w:hAnsi="Times New Roman" w:eastAsia="宋体" w:cs="Times New Roman"/>
                <w:sz w:val="21"/>
                <w:szCs w:val="21"/>
              </w:rPr>
              <w:t>二、2020年10月22日，兵团以新兵函〔2020〕24号文件对第七师胡杨河市开发区（园区）清理整顿方案予以批复，同意兵团级天北新区工业园区更名为“天北经济技术开发区”。总体规划名称：《天北经济技术开发区总体规划（2021-2035年）》，未批复。</w:t>
            </w:r>
          </w:p>
        </w:tc>
      </w:tr>
      <w:tr w14:paraId="193EE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73" w:type="dxa"/>
            <w:vAlign w:val="center"/>
          </w:tcPr>
          <w:p w14:paraId="42BD89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规划环境影响评价情况</w:t>
            </w:r>
          </w:p>
        </w:tc>
        <w:tc>
          <w:tcPr>
            <w:tcW w:w="7097" w:type="dxa"/>
            <w:gridSpan w:val="3"/>
            <w:vAlign w:val="center"/>
          </w:tcPr>
          <w:p w14:paraId="424146B5">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2" w:firstLineChars="200"/>
              <w:jc w:val="left"/>
              <w:textAlignment w:val="auto"/>
              <w:rPr>
                <w:rFonts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b/>
                <w:bCs/>
                <w:color w:val="auto"/>
                <w:spacing w:val="0"/>
                <w:kern w:val="0"/>
                <w:position w:val="0"/>
                <w:sz w:val="21"/>
                <w:szCs w:val="21"/>
                <w:lang w:val="en-US" w:eastAsia="zh-CN"/>
              </w:rPr>
              <w:t>规划环境影响评价文件名称</w:t>
            </w:r>
            <w:r>
              <w:rPr>
                <w:rFonts w:hint="eastAsia" w:ascii="Times New Roman" w:hAnsi="Times New Roman" w:eastAsia="宋体" w:cs="Times New Roman"/>
                <w:b/>
                <w:bCs/>
                <w:color w:val="auto"/>
                <w:spacing w:val="0"/>
                <w:kern w:val="0"/>
                <w:position w:val="0"/>
                <w:sz w:val="21"/>
                <w:szCs w:val="21"/>
                <w:lang w:val="en-US" w:eastAsia="zh-CN"/>
              </w:rPr>
              <w:t>：</w:t>
            </w:r>
            <w:r>
              <w:rPr>
                <w:rFonts w:hint="eastAsia" w:ascii="Times New Roman" w:hAnsi="Times New Roman" w:eastAsia="宋体" w:cs="Times New Roman"/>
                <w:color w:val="auto"/>
                <w:spacing w:val="0"/>
                <w:kern w:val="0"/>
                <w:position w:val="0"/>
                <w:sz w:val="21"/>
                <w:szCs w:val="21"/>
              </w:rPr>
              <w:t>《天北经济技术开发区总体规划</w:t>
            </w:r>
            <w:r>
              <w:rPr>
                <w:rFonts w:hint="eastAsia"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rPr>
              <w:t>2021-2035年</w:t>
            </w:r>
            <w:r>
              <w:rPr>
                <w:rFonts w:hint="eastAsia"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lang w:eastAsia="zh-CN"/>
              </w:rPr>
              <w:t>环境影响报告书</w:t>
            </w:r>
            <w:r>
              <w:rPr>
                <w:rFonts w:hint="eastAsia" w:ascii="Times New Roman" w:hAnsi="Times New Roman" w:eastAsia="宋体" w:cs="Times New Roman"/>
                <w:color w:val="auto"/>
                <w:spacing w:val="0"/>
                <w:kern w:val="0"/>
                <w:position w:val="0"/>
                <w:sz w:val="21"/>
                <w:szCs w:val="21"/>
              </w:rPr>
              <w:t>》</w:t>
            </w:r>
          </w:p>
          <w:p w14:paraId="73E1801B">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eastAsia" w:ascii="Times New Roman" w:hAnsi="Times New Roman" w:eastAsia="宋体" w:cs="Times New Roman"/>
                <w:b/>
                <w:bCs/>
                <w:color w:val="auto"/>
                <w:spacing w:val="0"/>
                <w:kern w:val="0"/>
                <w:position w:val="0"/>
                <w:sz w:val="21"/>
                <w:szCs w:val="21"/>
                <w:lang w:eastAsia="zh-CN"/>
              </w:rPr>
            </w:pPr>
            <w:r>
              <w:rPr>
                <w:rFonts w:hint="eastAsia" w:ascii="Times New Roman" w:hAnsi="Times New Roman" w:eastAsia="宋体" w:cs="Times New Roman"/>
                <w:b/>
                <w:bCs/>
                <w:color w:val="auto"/>
                <w:spacing w:val="0"/>
                <w:kern w:val="0"/>
                <w:position w:val="0"/>
                <w:sz w:val="21"/>
                <w:szCs w:val="21"/>
                <w:lang w:eastAsia="zh-CN"/>
              </w:rPr>
              <w:t>审查机关</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lang w:eastAsia="zh-CN"/>
              </w:rPr>
              <w:t>新疆生产建设兵团生态环境局</w:t>
            </w:r>
          </w:p>
          <w:p w14:paraId="4EC2A8DB">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color w:val="0000FF"/>
                <w:spacing w:val="0"/>
                <w:kern w:val="0"/>
                <w:position w:val="0"/>
                <w:sz w:val="21"/>
                <w:szCs w:val="21"/>
              </w:rPr>
            </w:pPr>
            <w:r>
              <w:rPr>
                <w:rFonts w:hint="eastAsia" w:ascii="Times New Roman" w:hAnsi="Times New Roman" w:eastAsia="宋体" w:cs="Times New Roman"/>
                <w:b/>
                <w:bCs/>
                <w:color w:val="auto"/>
                <w:spacing w:val="0"/>
                <w:kern w:val="0"/>
                <w:position w:val="0"/>
                <w:sz w:val="21"/>
                <w:szCs w:val="21"/>
                <w:lang w:eastAsia="zh-CN"/>
              </w:rPr>
              <w:t>文号：</w:t>
            </w:r>
            <w:r>
              <w:rPr>
                <w:rFonts w:hint="eastAsia" w:ascii="Times New Roman" w:hAnsi="Times New Roman" w:eastAsia="宋体" w:cs="Times New Roman"/>
                <w:color w:val="auto"/>
                <w:spacing w:val="0"/>
                <w:kern w:val="0"/>
                <w:position w:val="0"/>
                <w:sz w:val="21"/>
                <w:szCs w:val="21"/>
                <w:lang w:eastAsia="zh-CN"/>
              </w:rPr>
              <w:t>《关于</w:t>
            </w:r>
            <w:r>
              <w:rPr>
                <w:rFonts w:hint="eastAsia" w:ascii="Times New Roman" w:hAnsi="Times New Roman" w:eastAsia="宋体" w:cs="Times New Roman"/>
                <w:color w:val="auto"/>
                <w:spacing w:val="0"/>
                <w:kern w:val="0"/>
                <w:position w:val="0"/>
                <w:sz w:val="21"/>
                <w:szCs w:val="21"/>
              </w:rPr>
              <w:t>天北经济技术开发区总体规划</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rPr>
              <w:t>2021-2035年</w:t>
            </w:r>
            <w:r>
              <w:rPr>
                <w:rFonts w:hint="eastAsia" w:ascii="Times New Roman" w:hAnsi="Times New Roman" w:eastAsia="宋体" w:cs="Times New Roman"/>
                <w:color w:val="auto"/>
                <w:spacing w:val="0"/>
                <w:kern w:val="0"/>
                <w:position w:val="0"/>
                <w:sz w:val="21"/>
                <w:szCs w:val="21"/>
                <w:lang w:eastAsia="zh-CN"/>
              </w:rPr>
              <w:t>）环境影响报告书的</w:t>
            </w:r>
            <w:r>
              <w:rPr>
                <w:rFonts w:hint="eastAsia" w:ascii="Times New Roman" w:hAnsi="Times New Roman" w:eastAsia="宋体" w:cs="Times New Roman"/>
                <w:color w:val="auto"/>
                <w:spacing w:val="0"/>
                <w:kern w:val="0"/>
                <w:position w:val="0"/>
                <w:sz w:val="21"/>
                <w:szCs w:val="21"/>
                <w:lang w:val="en-US" w:eastAsia="zh-CN"/>
              </w:rPr>
              <w:t>审查意见</w:t>
            </w:r>
            <w:r>
              <w:rPr>
                <w:rFonts w:hint="eastAsia" w:ascii="Times New Roman" w:hAnsi="Times New Roman" w:eastAsia="宋体" w:cs="Times New Roman"/>
                <w:b w:val="0"/>
                <w:bCs w:val="0"/>
                <w:color w:val="auto"/>
                <w:spacing w:val="0"/>
                <w:kern w:val="0"/>
                <w:position w:val="0"/>
                <w:sz w:val="21"/>
                <w:szCs w:val="21"/>
                <w:highlight w:val="none"/>
                <w:lang w:eastAsia="zh-CN"/>
              </w:rPr>
              <w:t>》（兵环审</w:t>
            </w:r>
            <w:r>
              <w:rPr>
                <w:rFonts w:hint="eastAsia" w:cs="Times New Roman"/>
                <w:b w:val="0"/>
                <w:bCs w:val="0"/>
                <w:color w:val="auto"/>
                <w:spacing w:val="0"/>
                <w:kern w:val="0"/>
                <w:position w:val="0"/>
                <w:sz w:val="21"/>
                <w:szCs w:val="21"/>
                <w:highlight w:val="none"/>
                <w:lang w:eastAsia="zh-CN"/>
              </w:rPr>
              <w:t>〔2022〕9号</w:t>
            </w:r>
            <w:r>
              <w:rPr>
                <w:rFonts w:hint="eastAsia" w:ascii="Times New Roman" w:hAnsi="Times New Roman" w:eastAsia="宋体" w:cs="Times New Roman"/>
                <w:b w:val="0"/>
                <w:bCs w:val="0"/>
                <w:color w:val="auto"/>
                <w:spacing w:val="0"/>
                <w:kern w:val="0"/>
                <w:position w:val="0"/>
                <w:sz w:val="21"/>
                <w:szCs w:val="21"/>
                <w:highlight w:val="none"/>
                <w:lang w:eastAsia="zh-CN"/>
              </w:rPr>
              <w:t>）。</w:t>
            </w:r>
          </w:p>
        </w:tc>
      </w:tr>
      <w:tr w14:paraId="29105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5" w:hRule="atLeast"/>
          <w:jc w:val="center"/>
        </w:trPr>
        <w:tc>
          <w:tcPr>
            <w:tcW w:w="1773" w:type="dxa"/>
            <w:vAlign w:val="center"/>
          </w:tcPr>
          <w:p w14:paraId="5E7A99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16CA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900B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3826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5A08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2A8C7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DA0E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4162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B82F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7A1C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F9FB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E150C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80DC1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51F63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0077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E8DE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84F1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56A9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57507E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7108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C3D66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35B6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5340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FED8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7B413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规划及规划环境影响评价符合性分析</w:t>
            </w:r>
          </w:p>
          <w:p w14:paraId="053E64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9196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85474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36DC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70AA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D999F7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5C32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588E1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F3B8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48A23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8A97E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34413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8D24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08C69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36CA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F63E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07A7B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A1C9E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539D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3992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9CA46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F6032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69AB3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8533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6133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83385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C5B5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5329E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D7E9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71106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98CC5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12C0F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0BF42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BF9DF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79B0D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578A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7B4F8C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3955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74037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A2323E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54D20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C359D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2A0AF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48E6A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8AB8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F2BF6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A122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B92E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7D7F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803A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80A4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29642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规划及规划环境影响评价符合性分析</w:t>
            </w:r>
          </w:p>
          <w:p w14:paraId="786DA2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A1C3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4C2E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567F6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842F2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DAAC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DC39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6EFE9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F858E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6AF8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E48E2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03B1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BFAA5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73995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33A30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E6F1A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EA7E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899A6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B6E61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1FD8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A8D8A1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76BE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64B4B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4C649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34FAE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0199E0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ED9F6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7A99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6E98B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B95065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95826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6D33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BB39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B9021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E14566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60A4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E2B5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E2D07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6DB9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2C11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2292F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66744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7DD0D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2BA4E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E2D7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B65C6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44B2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E8DBB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A184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74175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3B6EE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9CF4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D2CC7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规划及规划环境影响评价符合性分析</w:t>
            </w:r>
          </w:p>
          <w:p w14:paraId="640FF8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ACD9C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9F865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BA98C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CD67FC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EC4F6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CDCA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83894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8C2D6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E1C8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B5E04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E175D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12E8F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CD63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24CE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57FAA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5D76F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8C5A2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540CB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FFC4E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FFA2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F48EF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CC9D5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40B92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D15D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F827D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9888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1D84D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003DE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3DF0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D143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1F4B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4D74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规划及规划环境影响评价符合性分析</w:t>
            </w:r>
          </w:p>
          <w:p w14:paraId="22143F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DD40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A9C9A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EFFB3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94B917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2D52B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2212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19257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CEB2C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CD8FF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8E04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20D5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tc>
        <w:tc>
          <w:tcPr>
            <w:tcW w:w="7097" w:type="dxa"/>
            <w:gridSpan w:val="3"/>
            <w:vAlign w:val="top"/>
          </w:tcPr>
          <w:p w14:paraId="216DDAD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both"/>
              <w:textAlignment w:val="auto"/>
              <w:rPr>
                <w:rFonts w:hint="eastAsia"/>
                <w:b/>
                <w:bCs/>
                <w:color w:val="auto"/>
                <w:spacing w:val="0"/>
                <w:kern w:val="0"/>
                <w:position w:val="0"/>
                <w:sz w:val="21"/>
                <w:szCs w:val="21"/>
                <w:lang w:val="en-US" w:eastAsia="zh-CN"/>
              </w:rPr>
            </w:pPr>
            <w:r>
              <w:rPr>
                <w:rFonts w:hint="eastAsia"/>
                <w:b/>
                <w:bCs/>
                <w:color w:val="auto"/>
                <w:spacing w:val="0"/>
                <w:kern w:val="0"/>
                <w:position w:val="0"/>
                <w:sz w:val="21"/>
                <w:szCs w:val="21"/>
                <w:lang w:val="en-US" w:eastAsia="zh-CN"/>
              </w:rPr>
              <w:t>1与《</w:t>
            </w:r>
            <w:r>
              <w:rPr>
                <w:rFonts w:hint="eastAsia" w:ascii="Times New Roman" w:hAnsi="Times New Roman" w:eastAsia="宋体" w:cs="Times New Roman"/>
                <w:b/>
                <w:bCs/>
                <w:color w:val="auto"/>
                <w:spacing w:val="0"/>
                <w:kern w:val="0"/>
                <w:position w:val="0"/>
                <w:sz w:val="21"/>
                <w:szCs w:val="21"/>
              </w:rPr>
              <w:t>天北经济技术开发区总体规划</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b/>
                <w:bCs/>
                <w:color w:val="auto"/>
                <w:spacing w:val="0"/>
                <w:kern w:val="0"/>
                <w:position w:val="0"/>
                <w:sz w:val="21"/>
                <w:szCs w:val="21"/>
              </w:rPr>
              <w:t>2021-2035年</w:t>
            </w:r>
            <w:r>
              <w:rPr>
                <w:rFonts w:hint="eastAsia" w:cs="Times New Roman"/>
                <w:b/>
                <w:bCs/>
                <w:color w:val="auto"/>
                <w:spacing w:val="0"/>
                <w:kern w:val="0"/>
                <w:position w:val="0"/>
                <w:sz w:val="21"/>
                <w:szCs w:val="21"/>
                <w:lang w:eastAsia="zh-CN"/>
              </w:rPr>
              <w:t>）</w:t>
            </w:r>
            <w:r>
              <w:rPr>
                <w:rFonts w:hint="eastAsia"/>
                <w:b/>
                <w:bCs/>
                <w:color w:val="auto"/>
                <w:spacing w:val="0"/>
                <w:kern w:val="0"/>
                <w:position w:val="0"/>
                <w:sz w:val="21"/>
                <w:szCs w:val="21"/>
                <w:lang w:val="en-US" w:eastAsia="zh-CN"/>
              </w:rPr>
              <w:t>》符合性分析</w:t>
            </w:r>
          </w:p>
          <w:p w14:paraId="01BB4FB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pacing w:val="0"/>
                <w:kern w:val="0"/>
                <w:position w:val="0"/>
                <w:sz w:val="21"/>
                <w:szCs w:val="21"/>
              </w:rPr>
            </w:pPr>
            <w:r>
              <w:rPr>
                <w:rFonts w:hint="eastAsia" w:ascii="Times New Roman" w:hAnsi="Times New Roman" w:eastAsia="宋体" w:cs="Times New Roman"/>
                <w:color w:val="auto"/>
                <w:spacing w:val="0"/>
                <w:kern w:val="0"/>
                <w:position w:val="0"/>
                <w:sz w:val="21"/>
                <w:szCs w:val="21"/>
              </w:rPr>
              <w:t>根据《天北经济技术开发区总体规划</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rPr>
              <w:t>2021-2035年</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rPr>
              <w:t>》：</w:t>
            </w:r>
          </w:p>
          <w:p w14:paraId="7CB921C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bidi="ar-SA"/>
              </w:rPr>
              <w:t>（1）</w:t>
            </w:r>
            <w:r>
              <w:rPr>
                <w:rFonts w:hint="eastAsia"/>
                <w:color w:val="auto"/>
                <w:spacing w:val="0"/>
                <w:kern w:val="0"/>
                <w:position w:val="0"/>
                <w:sz w:val="21"/>
                <w:szCs w:val="21"/>
                <w:lang w:val="en-US" w:eastAsia="zh-CN"/>
              </w:rPr>
              <w:t>规划总面积65.43平方公里，包括行政区和北工业区，其中行政区包括南工业区和城区两部分，规划面积50.42平方公里。规划范围如下：</w:t>
            </w:r>
          </w:p>
          <w:p w14:paraId="5132592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spacing w:val="0"/>
                <w:kern w:val="0"/>
                <w:position w:val="0"/>
                <w:sz w:val="21"/>
                <w:szCs w:val="21"/>
                <w:lang w:val="en-US" w:eastAsia="zh-CN"/>
              </w:rPr>
            </w:pPr>
            <w:r>
              <w:rPr>
                <w:rFonts w:hint="eastAsia"/>
                <w:color w:val="auto"/>
                <w:spacing w:val="0"/>
                <w:kern w:val="0"/>
                <w:position w:val="0"/>
                <w:sz w:val="21"/>
                <w:szCs w:val="21"/>
                <w:lang w:val="en-US" w:eastAsia="zh-CN"/>
              </w:rPr>
              <w:t>北至泉沟水库</w:t>
            </w:r>
            <w:r>
              <w:rPr>
                <w:rFonts w:hint="eastAsia" w:ascii="Times New Roman" w:hAnsi="Times New Roman" w:eastAsia="宋体" w:cs="Times New Roman"/>
                <w:color w:val="auto"/>
                <w:spacing w:val="0"/>
                <w:kern w:val="0"/>
                <w:position w:val="0"/>
                <w:sz w:val="21"/>
                <w:szCs w:val="21"/>
                <w:lang w:val="en-US" w:eastAsia="zh-CN" w:bidi="ar-SA"/>
              </w:rPr>
              <w:t>（</w:t>
            </w:r>
            <w:r>
              <w:rPr>
                <w:rFonts w:hint="eastAsia"/>
                <w:color w:val="auto"/>
                <w:spacing w:val="0"/>
                <w:kern w:val="0"/>
                <w:position w:val="0"/>
                <w:sz w:val="21"/>
                <w:szCs w:val="21"/>
                <w:lang w:val="en-US" w:eastAsia="zh-CN"/>
              </w:rPr>
              <w:t>圆梦湖</w:t>
            </w:r>
            <w:r>
              <w:rPr>
                <w:rFonts w:hint="eastAsia" w:ascii="Times New Roman" w:hAnsi="Times New Roman" w:eastAsia="宋体" w:cs="Times New Roman"/>
                <w:color w:val="auto"/>
                <w:spacing w:val="0"/>
                <w:kern w:val="0"/>
                <w:position w:val="0"/>
                <w:sz w:val="21"/>
                <w:szCs w:val="21"/>
                <w:lang w:val="en-US" w:eastAsia="zh-CN" w:bidi="ar-SA"/>
              </w:rPr>
              <w:t>）</w:t>
            </w:r>
            <w:r>
              <w:rPr>
                <w:rFonts w:hint="eastAsia"/>
                <w:color w:val="auto"/>
                <w:spacing w:val="0"/>
                <w:kern w:val="0"/>
                <w:position w:val="0"/>
                <w:sz w:val="21"/>
                <w:szCs w:val="21"/>
                <w:lang w:val="en-US" w:eastAsia="zh-CN"/>
              </w:rPr>
              <w:t>南坝线，南至乌鲁木齐西路、伊犁路，东至131团八连，西至217国道。北工业园区规划面积15.01平方公里，位于开发区行政区东北方向约85公里处，规划范围西至奎车公路，北至北环路，南与奎独经济开发区北二区紧邻，东至130团公益林。</w:t>
            </w:r>
          </w:p>
          <w:p w14:paraId="0C800B05">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（2）发展定位：</w:t>
            </w:r>
            <w:r>
              <w:rPr>
                <w:rFonts w:hint="eastAsia" w:ascii="Times New Roman" w:hAnsi="Times New Roman" w:eastAsia="宋体" w:cs="Times New Roman"/>
                <w:color w:val="auto"/>
                <w:spacing w:val="0"/>
                <w:kern w:val="0"/>
                <w:position w:val="0"/>
                <w:sz w:val="21"/>
                <w:szCs w:val="21"/>
              </w:rPr>
              <w:t>天北经济技术开发区</w:t>
            </w:r>
            <w:r>
              <w:rPr>
                <w:rFonts w:hint="eastAsia" w:ascii="Times New Roman" w:hAnsi="Times New Roman" w:eastAsia="宋体" w:cs="Times New Roman"/>
                <w:color w:val="auto"/>
                <w:spacing w:val="0"/>
                <w:kern w:val="0"/>
                <w:position w:val="0"/>
                <w:sz w:val="21"/>
                <w:szCs w:val="21"/>
                <w:lang w:val="en-US" w:eastAsia="zh-CN" w:bidi="ar-SA"/>
              </w:rPr>
              <w:t>以农副产品加工业、现代服务业、新材料为主导产业</w:t>
            </w:r>
            <w:r>
              <w:rPr>
                <w:rFonts w:hint="eastAsia" w:cs="Times New Roman"/>
                <w:color w:val="auto"/>
                <w:spacing w:val="0"/>
                <w:kern w:val="0"/>
                <w:position w:val="0"/>
                <w:sz w:val="21"/>
                <w:szCs w:val="21"/>
                <w:lang w:val="en-US" w:eastAsia="zh-CN" w:bidi="ar-SA"/>
              </w:rPr>
              <w:t>。</w:t>
            </w:r>
          </w:p>
          <w:p w14:paraId="189C5623">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城区规划重点发展</w:t>
            </w:r>
            <w:r>
              <w:rPr>
                <w:rFonts w:hint="eastAsia" w:cs="Times New Roman"/>
                <w:color w:val="auto"/>
                <w:spacing w:val="0"/>
                <w:kern w:val="0"/>
                <w:position w:val="0"/>
                <w:sz w:val="21"/>
                <w:szCs w:val="21"/>
                <w:lang w:val="en-US" w:eastAsia="zh-CN" w:bidi="ar-SA"/>
              </w:rPr>
              <w:t>：</w:t>
            </w:r>
            <w:r>
              <w:rPr>
                <w:rFonts w:hint="eastAsia" w:ascii="Times New Roman" w:hAnsi="Times New Roman" w:eastAsia="宋体" w:cs="Times New Roman"/>
                <w:color w:val="auto"/>
                <w:spacing w:val="0"/>
                <w:kern w:val="0"/>
                <w:position w:val="0"/>
                <w:sz w:val="21"/>
                <w:szCs w:val="21"/>
                <w:lang w:val="en-US" w:eastAsia="zh-CN" w:bidi="ar-SA"/>
              </w:rPr>
              <w:t>现代服务业，包括社会服务业、旅游服务业、生产、生活等服务业</w:t>
            </w:r>
            <w:r>
              <w:rPr>
                <w:rFonts w:hint="eastAsia" w:cs="Times New Roman"/>
                <w:color w:val="auto"/>
                <w:spacing w:val="0"/>
                <w:kern w:val="0"/>
                <w:position w:val="0"/>
                <w:sz w:val="21"/>
                <w:szCs w:val="21"/>
                <w:lang w:val="en-US" w:eastAsia="zh-CN" w:bidi="ar-SA"/>
              </w:rPr>
              <w:t>。</w:t>
            </w:r>
          </w:p>
          <w:p w14:paraId="18DA7857">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南工业区规划重点发展</w:t>
            </w:r>
            <w:r>
              <w:rPr>
                <w:rFonts w:hint="eastAsia" w:cs="Times New Roman"/>
                <w:color w:val="auto"/>
                <w:spacing w:val="0"/>
                <w:kern w:val="0"/>
                <w:position w:val="0"/>
                <w:sz w:val="21"/>
                <w:szCs w:val="21"/>
                <w:lang w:val="en-US" w:eastAsia="zh-CN" w:bidi="ar-SA"/>
              </w:rPr>
              <w:t>：</w:t>
            </w:r>
            <w:r>
              <w:rPr>
                <w:rFonts w:hint="eastAsia" w:ascii="Times New Roman" w:hAnsi="Times New Roman" w:eastAsia="宋体" w:cs="Times New Roman"/>
                <w:color w:val="auto"/>
                <w:spacing w:val="0"/>
                <w:kern w:val="0"/>
                <w:position w:val="0"/>
                <w:sz w:val="21"/>
                <w:szCs w:val="21"/>
                <w:lang w:val="en-US" w:eastAsia="zh-CN" w:bidi="ar-SA"/>
              </w:rPr>
              <w:t>农副产品加工、现代物流产业、新材料</w:t>
            </w:r>
            <w:r>
              <w:rPr>
                <w:rFonts w:hint="eastAsia" w:cs="Times New Roman"/>
                <w:color w:val="auto"/>
                <w:spacing w:val="0"/>
                <w:kern w:val="0"/>
                <w:position w:val="0"/>
                <w:sz w:val="21"/>
                <w:szCs w:val="21"/>
                <w:lang w:val="en-US" w:eastAsia="zh-CN" w:bidi="ar-SA"/>
              </w:rPr>
              <w:t>。</w:t>
            </w:r>
          </w:p>
          <w:p w14:paraId="139EC6E9">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南工业区</w:t>
            </w:r>
            <w:r>
              <w:rPr>
                <w:rFonts w:hint="eastAsia" w:cs="Times New Roman"/>
                <w:color w:val="auto"/>
                <w:spacing w:val="0"/>
                <w:kern w:val="0"/>
                <w:position w:val="0"/>
                <w:sz w:val="21"/>
                <w:szCs w:val="21"/>
                <w:lang w:val="en-US" w:eastAsia="zh-CN" w:bidi="ar-SA"/>
              </w:rPr>
              <w:t>中</w:t>
            </w:r>
            <w:r>
              <w:rPr>
                <w:rFonts w:hint="eastAsia" w:ascii="Times New Roman" w:hAnsi="Times New Roman" w:eastAsia="宋体" w:cs="Times New Roman"/>
                <w:color w:val="auto"/>
                <w:spacing w:val="0"/>
                <w:kern w:val="0"/>
                <w:position w:val="0"/>
                <w:sz w:val="21"/>
                <w:szCs w:val="21"/>
                <w:lang w:val="en-US" w:eastAsia="zh-CN" w:bidi="ar-SA"/>
              </w:rPr>
              <w:t>北工业园区规划以农副产品加工产业为主，建材及机械装备制造业、节能环保及电子仪器制造、建材、物流仓储为辅助产业。</w:t>
            </w:r>
          </w:p>
          <w:p w14:paraId="15D6D58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（3）天北经济技术开发区（北工业区）产业布局规划：农副产品加工产业主导产业；建材及机械装备制造业、节能环保及电子仪器制造、建材、物流仓储为辅助产业。</w:t>
            </w:r>
          </w:p>
          <w:p w14:paraId="21FF388D">
            <w:pPr>
              <w:keepNext w:val="0"/>
              <w:keepLines w:val="0"/>
              <w:pageBreakBefore w:val="0"/>
              <w:widowControl w:val="0"/>
              <w:numPr>
                <w:ilvl w:val="0"/>
                <w:numId w:val="0"/>
              </w:numPr>
              <w:kinsoku/>
              <w:wordWrap/>
              <w:overflowPunct/>
              <w:topLinePunct w:val="0"/>
              <w:bidi w:val="0"/>
              <w:adjustRightInd/>
              <w:snapToGrid/>
              <w:spacing w:line="360" w:lineRule="auto"/>
              <w:ind w:firstLine="420" w:firstLineChars="200"/>
              <w:textAlignment w:val="auto"/>
              <w:rPr>
                <w:rFonts w:hint="eastAsia"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4）规划环评审查意见提出：坚守环境质量底线，严格污染物总量管控。落实重点行业区域削减措施，纳入日常环境管理工作，建立考核机制，并与排污许可制度衔接。推进现有企业工艺技术和污染治理技术改造，各类污染物排放须满足国家及自治区最新污染物排放标准要求。对与开发区规划不相符的现有企业提出转型或搬迁要求。</w:t>
            </w:r>
          </w:p>
          <w:p w14:paraId="17D1F972">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0000FF"/>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本项目位于第七师胡杨河天北经济技术开发区北区建材及机械设备制造区内，</w:t>
            </w:r>
            <w:r>
              <w:rPr>
                <w:rFonts w:hint="eastAsia" w:cs="Times New Roman"/>
                <w:color w:val="auto"/>
                <w:spacing w:val="0"/>
                <w:kern w:val="0"/>
                <w:position w:val="0"/>
                <w:sz w:val="21"/>
                <w:szCs w:val="21"/>
                <w:lang w:val="en-US" w:eastAsia="zh-CN" w:bidi="ar-SA"/>
              </w:rPr>
              <w:t>本</w:t>
            </w:r>
            <w:r>
              <w:rPr>
                <w:rFonts w:hint="eastAsia" w:ascii="Times New Roman" w:hAnsi="Times New Roman" w:eastAsia="宋体" w:cs="Times New Roman"/>
                <w:color w:val="auto"/>
                <w:spacing w:val="0"/>
                <w:kern w:val="0"/>
                <w:position w:val="0"/>
                <w:sz w:val="21"/>
                <w:szCs w:val="21"/>
                <w:lang w:val="en-US" w:eastAsia="zh-CN" w:bidi="ar-SA"/>
              </w:rPr>
              <w:t>项目</w:t>
            </w:r>
            <w:r>
              <w:rPr>
                <w:rFonts w:hint="eastAsia" w:cs="Times New Roman"/>
                <w:color w:val="auto"/>
                <w:spacing w:val="0"/>
                <w:kern w:val="0"/>
                <w:position w:val="0"/>
                <w:sz w:val="21"/>
                <w:szCs w:val="21"/>
                <w:lang w:val="en-US" w:eastAsia="zh-CN" w:bidi="ar-SA"/>
              </w:rPr>
              <w:t>为管件制造项目，属于建材制品制造</w:t>
            </w:r>
            <w:r>
              <w:rPr>
                <w:rFonts w:hint="eastAsia" w:ascii="Times New Roman" w:hAnsi="Times New Roman" w:eastAsia="宋体" w:cs="Times New Roman"/>
                <w:color w:val="auto"/>
                <w:spacing w:val="0"/>
                <w:kern w:val="0"/>
                <w:position w:val="0"/>
                <w:sz w:val="21"/>
                <w:szCs w:val="21"/>
                <w:lang w:val="en-US" w:eastAsia="zh-CN" w:bidi="ar-SA"/>
              </w:rPr>
              <w:t>，用地性质为建设用地</w:t>
            </w:r>
            <w:r>
              <w:rPr>
                <w:rFonts w:hint="eastAsia" w:cs="Times New Roman"/>
                <w:color w:val="auto"/>
                <w:spacing w:val="0"/>
                <w:kern w:val="0"/>
                <w:position w:val="0"/>
                <w:sz w:val="21"/>
                <w:szCs w:val="21"/>
                <w:lang w:val="en-US" w:eastAsia="zh-CN" w:bidi="ar-SA"/>
              </w:rPr>
              <w:t>，</w:t>
            </w:r>
            <w:r>
              <w:rPr>
                <w:rFonts w:hint="eastAsia" w:ascii="Times New Roman" w:hAnsi="Times New Roman" w:eastAsia="宋体" w:cs="Times New Roman"/>
                <w:color w:val="auto"/>
                <w:spacing w:val="0"/>
                <w:kern w:val="0"/>
                <w:position w:val="0"/>
                <w:sz w:val="21"/>
                <w:szCs w:val="21"/>
                <w:lang w:val="en-US" w:eastAsia="zh-CN" w:bidi="ar-SA"/>
              </w:rPr>
              <w:t>符合北区以建材及机械装备制造业作为发展产业的定位、土地利用规划、产业布局和用地规划等要求</w:t>
            </w:r>
            <w:r>
              <w:rPr>
                <w:rFonts w:hint="eastAsia" w:cs="Times New Roman"/>
                <w:color w:val="auto"/>
                <w:spacing w:val="0"/>
                <w:kern w:val="0"/>
                <w:position w:val="0"/>
                <w:sz w:val="21"/>
                <w:szCs w:val="21"/>
                <w:lang w:val="en-US" w:eastAsia="zh-CN" w:bidi="ar-SA"/>
              </w:rPr>
              <w:t>；本项目破碎、混料、产品加热挤出的产污环节提出布袋除尘器、活性炭吸附脱附加催化燃烧器的处理措施，本措施为行业内先进处理技术，所有污染物经过处理后均可以达标排放，符合“</w:t>
            </w:r>
            <w:r>
              <w:rPr>
                <w:rFonts w:hint="eastAsia" w:ascii="Times New Roman" w:hAnsi="Times New Roman" w:eastAsia="宋体" w:cs="Times New Roman"/>
                <w:color w:val="auto"/>
                <w:spacing w:val="0"/>
                <w:kern w:val="0"/>
                <w:position w:val="0"/>
                <w:sz w:val="21"/>
                <w:szCs w:val="21"/>
                <w:lang w:val="en-US" w:eastAsia="zh-CN" w:bidi="ar-SA"/>
              </w:rPr>
              <w:t>各类污染物排放须满足国家及自治区最新污染物排放标准要求</w:t>
            </w:r>
            <w:r>
              <w:rPr>
                <w:rFonts w:hint="eastAsia" w:cs="Times New Roman"/>
                <w:color w:val="auto"/>
                <w:spacing w:val="0"/>
                <w:kern w:val="0"/>
                <w:position w:val="0"/>
                <w:sz w:val="21"/>
                <w:szCs w:val="21"/>
                <w:lang w:val="en-US" w:eastAsia="zh-CN" w:bidi="ar-SA"/>
              </w:rPr>
              <w:t>”。</w:t>
            </w:r>
            <w:r>
              <w:rPr>
                <w:rFonts w:hint="eastAsia" w:ascii="Times New Roman" w:hAnsi="Times New Roman" w:eastAsia="宋体" w:cs="Times New Roman"/>
                <w:color w:val="auto"/>
                <w:spacing w:val="0"/>
                <w:kern w:val="0"/>
                <w:position w:val="0"/>
                <w:sz w:val="21"/>
                <w:szCs w:val="21"/>
                <w:lang w:val="en-US" w:eastAsia="zh-CN" w:bidi="ar-SA"/>
              </w:rPr>
              <w:t>因此本项目符合《</w:t>
            </w:r>
            <w:r>
              <w:rPr>
                <w:rFonts w:hint="eastAsia" w:ascii="Times New Roman" w:hAnsi="Times New Roman" w:eastAsia="宋体" w:cs="Times New Roman"/>
                <w:color w:val="auto"/>
                <w:spacing w:val="0"/>
                <w:kern w:val="0"/>
                <w:position w:val="0"/>
                <w:sz w:val="21"/>
                <w:szCs w:val="21"/>
              </w:rPr>
              <w:t>天北经济技术开发区总体规划</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rPr>
              <w:t>2021-2035年</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lang w:val="en-US" w:eastAsia="zh-CN" w:bidi="ar-SA"/>
              </w:rPr>
              <w:t>》。</w:t>
            </w:r>
          </w:p>
          <w:p w14:paraId="59251047">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Times New Roman" w:hAnsi="Times New Roman" w:eastAsia="宋体" w:cs="Times New Roman"/>
                <w:b/>
                <w:bCs/>
                <w:color w:val="auto"/>
                <w:spacing w:val="0"/>
                <w:kern w:val="0"/>
                <w:position w:val="0"/>
                <w:sz w:val="21"/>
                <w:szCs w:val="21"/>
                <w:lang w:val="en-US" w:eastAsia="zh-CN"/>
              </w:rPr>
            </w:pPr>
            <w:r>
              <w:rPr>
                <w:rFonts w:hint="eastAsia" w:ascii="Times New Roman" w:hAnsi="Times New Roman" w:eastAsia="宋体" w:cs="Times New Roman"/>
                <w:b/>
                <w:bCs/>
                <w:color w:val="auto"/>
                <w:spacing w:val="0"/>
                <w:kern w:val="0"/>
                <w:position w:val="0"/>
                <w:sz w:val="21"/>
                <w:szCs w:val="21"/>
                <w:lang w:val="en-US" w:eastAsia="zh-CN"/>
              </w:rPr>
              <w:t>2与《</w:t>
            </w:r>
            <w:bookmarkStart w:id="2" w:name="OLE_LINK1"/>
            <w:bookmarkStart w:id="3" w:name="OLE_LINK2"/>
            <w:r>
              <w:rPr>
                <w:rFonts w:hint="eastAsia" w:ascii="Times New Roman" w:hAnsi="Times New Roman" w:eastAsia="宋体" w:cs="Times New Roman"/>
                <w:b/>
                <w:bCs/>
                <w:color w:val="auto"/>
                <w:spacing w:val="0"/>
                <w:kern w:val="0"/>
                <w:position w:val="0"/>
                <w:sz w:val="21"/>
                <w:szCs w:val="21"/>
              </w:rPr>
              <w:t>天北经济技术开发区总体规划</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b/>
                <w:bCs/>
                <w:color w:val="auto"/>
                <w:spacing w:val="0"/>
                <w:kern w:val="0"/>
                <w:position w:val="0"/>
                <w:sz w:val="21"/>
                <w:szCs w:val="21"/>
              </w:rPr>
              <w:t>2021-2035年</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b/>
                <w:bCs/>
                <w:color w:val="auto"/>
                <w:spacing w:val="0"/>
                <w:kern w:val="0"/>
                <w:position w:val="0"/>
                <w:sz w:val="21"/>
                <w:szCs w:val="21"/>
                <w:lang w:val="en-US" w:eastAsia="zh-CN"/>
              </w:rPr>
              <w:t>环境影响报告书</w:t>
            </w:r>
            <w:bookmarkEnd w:id="2"/>
            <w:bookmarkEnd w:id="3"/>
            <w:r>
              <w:rPr>
                <w:rFonts w:hint="eastAsia" w:ascii="Times New Roman" w:hAnsi="Times New Roman" w:eastAsia="宋体" w:cs="Times New Roman"/>
                <w:b/>
                <w:bCs/>
                <w:color w:val="auto"/>
                <w:spacing w:val="0"/>
                <w:kern w:val="0"/>
                <w:position w:val="0"/>
                <w:sz w:val="21"/>
                <w:szCs w:val="21"/>
                <w:lang w:val="en-US" w:eastAsia="zh-CN"/>
              </w:rPr>
              <w:t>》审查意见符合性分析</w:t>
            </w:r>
          </w:p>
          <w:p w14:paraId="1A9418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eastAsia="宋体" w:cs="Times New Roman"/>
                <w:b/>
                <w:bCs/>
                <w:color w:val="auto"/>
                <w:spacing w:val="0"/>
                <w:position w:val="0"/>
                <w:sz w:val="21"/>
                <w:szCs w:val="21"/>
                <w:highlight w:val="none"/>
                <w:lang w:val="en-US" w:eastAsia="zh-CN"/>
              </w:rPr>
              <w:t>表1-1 项目与</w:t>
            </w:r>
            <w:r>
              <w:rPr>
                <w:rFonts w:ascii="Times New Roman" w:hAnsi="Times New Roman" w:eastAsia="宋体" w:cs="Times New Roman"/>
                <w:b/>
                <w:bCs/>
                <w:color w:val="auto"/>
                <w:spacing w:val="0"/>
                <w:position w:val="0"/>
                <w:sz w:val="21"/>
                <w:szCs w:val="21"/>
                <w:highlight w:val="none"/>
              </w:rPr>
              <w:t>《</w:t>
            </w:r>
            <w:r>
              <w:rPr>
                <w:rFonts w:hint="eastAsia" w:ascii="Times New Roman" w:hAnsi="Times New Roman" w:eastAsia="宋体" w:cs="Times New Roman"/>
                <w:b/>
                <w:bCs/>
                <w:color w:val="auto"/>
                <w:spacing w:val="0"/>
                <w:kern w:val="0"/>
                <w:position w:val="0"/>
                <w:sz w:val="21"/>
                <w:szCs w:val="21"/>
              </w:rPr>
              <w:t>天北经济技术开发区总体规划</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b/>
                <w:bCs/>
                <w:color w:val="auto"/>
                <w:spacing w:val="0"/>
                <w:kern w:val="0"/>
                <w:position w:val="0"/>
                <w:sz w:val="21"/>
                <w:szCs w:val="21"/>
              </w:rPr>
              <w:t>2021-2035年</w:t>
            </w:r>
            <w:r>
              <w:rPr>
                <w:rFonts w:hint="eastAsia" w:cs="Times New Roman"/>
                <w:b/>
                <w:bCs/>
                <w:color w:val="auto"/>
                <w:spacing w:val="0"/>
                <w:kern w:val="0"/>
                <w:position w:val="0"/>
                <w:sz w:val="21"/>
                <w:szCs w:val="21"/>
                <w:lang w:eastAsia="zh-CN"/>
              </w:rPr>
              <w:t>）</w:t>
            </w:r>
            <w:r>
              <w:rPr>
                <w:rFonts w:hint="eastAsia" w:ascii="Times New Roman" w:hAnsi="Times New Roman" w:eastAsia="宋体" w:cs="Times New Roman"/>
                <w:b/>
                <w:bCs/>
                <w:color w:val="auto"/>
                <w:spacing w:val="0"/>
                <w:position w:val="0"/>
                <w:sz w:val="21"/>
                <w:szCs w:val="21"/>
                <w:highlight w:val="none"/>
              </w:rPr>
              <w:t>环境影响报告书</w:t>
            </w:r>
            <w:r>
              <w:rPr>
                <w:rFonts w:ascii="Times New Roman" w:hAnsi="Times New Roman" w:eastAsia="宋体" w:cs="Times New Roman"/>
                <w:b/>
                <w:bCs/>
                <w:color w:val="auto"/>
                <w:spacing w:val="0"/>
                <w:position w:val="0"/>
                <w:sz w:val="21"/>
                <w:szCs w:val="21"/>
                <w:highlight w:val="none"/>
              </w:rPr>
              <w:t>》审查意见</w:t>
            </w:r>
            <w:r>
              <w:rPr>
                <w:rFonts w:hint="eastAsia" w:ascii="Times New Roman" w:hAnsi="Times New Roman" w:eastAsia="宋体" w:cs="Times New Roman"/>
                <w:b/>
                <w:bCs/>
                <w:color w:val="auto"/>
                <w:spacing w:val="0"/>
                <w:position w:val="0"/>
                <w:sz w:val="21"/>
                <w:szCs w:val="21"/>
                <w:highlight w:val="none"/>
                <w:lang w:val="en-US" w:eastAsia="zh-CN"/>
              </w:rPr>
              <w:t>符合性分析</w:t>
            </w:r>
          </w:p>
          <w:tbl>
            <w:tblPr>
              <w:tblStyle w:val="3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55"/>
              <w:gridCol w:w="2433"/>
              <w:gridCol w:w="562"/>
            </w:tblGrid>
            <w:tr w14:paraId="7218C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l2br w:val="nil"/>
                    <w:tr2bl w:val="nil"/>
                  </w:tcBorders>
                  <w:noWrap w:val="0"/>
                  <w:vAlign w:val="center"/>
                </w:tcPr>
                <w:p w14:paraId="163E49F1">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pacing w:val="0"/>
                      <w:position w:val="0"/>
                      <w:sz w:val="21"/>
                      <w:szCs w:val="21"/>
                      <w:highlight w:val="none"/>
                      <w:vertAlign w:val="baseline"/>
                      <w:lang w:val="en-US" w:eastAsia="zh-CN"/>
                    </w:rPr>
                  </w:pPr>
                  <w:r>
                    <w:rPr>
                      <w:rFonts w:hint="eastAsia" w:ascii="Times New Roman" w:hAnsi="Times New Roman" w:eastAsia="宋体"/>
                      <w:b/>
                      <w:bCs/>
                      <w:color w:val="auto"/>
                      <w:spacing w:val="0"/>
                      <w:position w:val="0"/>
                      <w:sz w:val="21"/>
                      <w:szCs w:val="21"/>
                      <w:highlight w:val="none"/>
                      <w:vertAlign w:val="baseline"/>
                      <w:lang w:val="en-US" w:eastAsia="zh-CN"/>
                    </w:rPr>
                    <w:t>文件要求</w:t>
                  </w:r>
                </w:p>
              </w:tc>
              <w:tc>
                <w:tcPr>
                  <w:tcW w:w="1775" w:type="pct"/>
                  <w:tcBorders>
                    <w:tl2br w:val="nil"/>
                    <w:tr2bl w:val="nil"/>
                  </w:tcBorders>
                  <w:noWrap w:val="0"/>
                  <w:vAlign w:val="center"/>
                </w:tcPr>
                <w:p w14:paraId="2D5F34FE">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pacing w:val="0"/>
                      <w:position w:val="0"/>
                      <w:sz w:val="21"/>
                      <w:szCs w:val="21"/>
                      <w:highlight w:val="none"/>
                      <w:vertAlign w:val="baseline"/>
                      <w:lang w:val="en-US" w:eastAsia="zh-CN"/>
                    </w:rPr>
                  </w:pPr>
                  <w:r>
                    <w:rPr>
                      <w:rFonts w:hint="eastAsia" w:ascii="Times New Roman" w:hAnsi="Times New Roman" w:eastAsia="宋体"/>
                      <w:b/>
                      <w:bCs/>
                      <w:color w:val="auto"/>
                      <w:spacing w:val="0"/>
                      <w:position w:val="0"/>
                      <w:sz w:val="21"/>
                      <w:szCs w:val="21"/>
                      <w:highlight w:val="none"/>
                      <w:vertAlign w:val="baseline"/>
                      <w:lang w:val="en-US" w:eastAsia="zh-CN"/>
                    </w:rPr>
                    <w:t>项目建设情况</w:t>
                  </w:r>
                </w:p>
              </w:tc>
              <w:tc>
                <w:tcPr>
                  <w:tcW w:w="410" w:type="pct"/>
                  <w:tcBorders>
                    <w:tl2br w:val="nil"/>
                    <w:tr2bl w:val="nil"/>
                  </w:tcBorders>
                  <w:noWrap w:val="0"/>
                  <w:vAlign w:val="center"/>
                </w:tcPr>
                <w:p w14:paraId="060505EF">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bCs/>
                      <w:color w:val="auto"/>
                      <w:spacing w:val="0"/>
                      <w:position w:val="0"/>
                      <w:sz w:val="21"/>
                      <w:szCs w:val="21"/>
                      <w:highlight w:val="none"/>
                      <w:vertAlign w:val="baseline"/>
                      <w:lang w:val="en-US" w:eastAsia="zh-CN"/>
                    </w:rPr>
                  </w:pPr>
                  <w:r>
                    <w:rPr>
                      <w:rFonts w:hint="eastAsia" w:ascii="Times New Roman" w:hAnsi="Times New Roman" w:eastAsia="宋体"/>
                      <w:b/>
                      <w:bCs/>
                      <w:color w:val="auto"/>
                      <w:spacing w:val="0"/>
                      <w:position w:val="0"/>
                      <w:sz w:val="21"/>
                      <w:szCs w:val="21"/>
                      <w:highlight w:val="none"/>
                      <w:vertAlign w:val="baseline"/>
                      <w:lang w:val="en-US" w:eastAsia="zh-CN"/>
                    </w:rPr>
                    <w:t>符合性</w:t>
                  </w:r>
                </w:p>
              </w:tc>
            </w:tr>
            <w:tr w14:paraId="7263B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3" w:type="pct"/>
                  <w:tcBorders>
                    <w:tl2br w:val="nil"/>
                    <w:tr2bl w:val="nil"/>
                  </w:tcBorders>
                  <w:noWrap w:val="0"/>
                  <w:vAlign w:val="center"/>
                </w:tcPr>
                <w:p w14:paraId="04469A8B">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宋体" w:hAnsi="宋体" w:eastAsia="宋体" w:cs="宋体"/>
                      <w:color w:val="auto"/>
                      <w:spacing w:val="0"/>
                      <w:position w:val="0"/>
                      <w:sz w:val="21"/>
                      <w:szCs w:val="21"/>
                      <w:highlight w:val="none"/>
                      <w:vertAlign w:val="baseline"/>
                      <w:lang w:val="en-US" w:eastAsia="zh-CN"/>
                    </w:rPr>
                    <w:t>（一）优</w:t>
                  </w:r>
                  <w:r>
                    <w:rPr>
                      <w:rFonts w:hint="default" w:ascii="Times New Roman" w:hAnsi="Times New Roman" w:eastAsia="宋体" w:cs="Times New Roman"/>
                      <w:color w:val="auto"/>
                      <w:spacing w:val="0"/>
                      <w:position w:val="0"/>
                      <w:sz w:val="21"/>
                      <w:szCs w:val="21"/>
                      <w:highlight w:val="none"/>
                      <w:vertAlign w:val="baseline"/>
                      <w:lang w:val="en-US" w:eastAsia="zh-CN"/>
                    </w:rPr>
                    <w:t>化开发区产业结构和布局，坚持绿色发展。坚持以环境质量改善为核心，遵循环保优先和绿色发展原则，结合区域实际及上位规划，依据所在产业区块功能及环保要求，确保产业区块的完整性和延续性，按照新兵函〔2020</w:t>
                  </w:r>
                  <w:r>
                    <w:rPr>
                      <w:rFonts w:hint="eastAsia"/>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highlight w:val="none"/>
                      <w:vertAlign w:val="baseline"/>
                      <w:lang w:val="en-US" w:eastAsia="zh-CN"/>
                    </w:rPr>
                    <w:t>24号文件批复的主导产业，合理确定开发区产业结构、功能分区。结合环境管理要求，开发区适宜以一类、二类工业的轻型工业为主导产业。开发区北工业园区新增新材料产业和环保循环产业布局，新材料产业以铝基电子材料、铝基复合材料、有机高分子材料产业为发展方向。行政区南工业区西南侧建议调整为生活服务区，东北侧104公顷居住用地应以工业园区生产服务性配套设施为主，南工业区与城区设置绿化隔离廊道。结合生态环境管控、环境风险防范要求，对开发区企业实现清单式管理。结合新疆及兵团生态环境保护</w:t>
                  </w:r>
                  <w:r>
                    <w:rPr>
                      <w:rFonts w:hint="eastAsia" w:cs="Times New Roman"/>
                      <w:color w:val="auto"/>
                      <w:spacing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vertAlign w:val="baseline"/>
                      <w:lang w:val="en-US" w:eastAsia="zh-CN"/>
                    </w:rPr>
                    <w:t>十四五</w:t>
                  </w:r>
                  <w:r>
                    <w:rPr>
                      <w:rFonts w:hint="eastAsia" w:cs="Times New Roman"/>
                      <w:color w:val="auto"/>
                      <w:spacing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vertAlign w:val="baseline"/>
                      <w:lang w:val="en-US" w:eastAsia="zh-CN"/>
                    </w:rPr>
                    <w:t>规划细化环境保护规划，明确其经济发展、社会发展、环境发展目标。根据开发区产业结构和产业链，结合资源利用上线、环境质量底线，完善生态环境准入清单。</w:t>
                  </w:r>
                </w:p>
              </w:tc>
              <w:tc>
                <w:tcPr>
                  <w:tcW w:w="1775" w:type="pct"/>
                  <w:tcBorders>
                    <w:tl2br w:val="nil"/>
                    <w:tr2bl w:val="nil"/>
                  </w:tcBorders>
                  <w:noWrap w:val="0"/>
                  <w:vAlign w:val="center"/>
                </w:tcPr>
                <w:p w14:paraId="766F1564">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本项目</w:t>
                  </w:r>
                  <w:r>
                    <w:rPr>
                      <w:rFonts w:hint="eastAsia"/>
                      <w:color w:val="auto"/>
                      <w:spacing w:val="0"/>
                      <w:position w:val="0"/>
                      <w:sz w:val="21"/>
                      <w:szCs w:val="21"/>
                      <w:highlight w:val="none"/>
                      <w:vertAlign w:val="baseline"/>
                      <w:lang w:val="en-US" w:eastAsia="zh-CN"/>
                    </w:rPr>
                    <w:t>位于第七师</w:t>
                  </w:r>
                  <w:r>
                    <w:rPr>
                      <w:rFonts w:hint="eastAsia" w:ascii="Times New Roman" w:hAnsi="Times New Roman" w:cs="Times New Roman"/>
                      <w:b w:val="0"/>
                      <w:bCs/>
                      <w:color w:val="auto"/>
                      <w:spacing w:val="0"/>
                      <w:position w:val="0"/>
                      <w:sz w:val="21"/>
                      <w:szCs w:val="21"/>
                      <w:lang w:val="en-US" w:eastAsia="zh-CN"/>
                    </w:rPr>
                    <w:t>天北经济技术开发区</w:t>
                  </w:r>
                  <w:r>
                    <w:rPr>
                      <w:rFonts w:hint="eastAsia" w:cs="Times New Roman"/>
                      <w:b w:val="0"/>
                      <w:bCs/>
                      <w:color w:val="auto"/>
                      <w:spacing w:val="0"/>
                      <w:position w:val="0"/>
                      <w:sz w:val="21"/>
                      <w:szCs w:val="21"/>
                      <w:lang w:val="en-US" w:eastAsia="zh-CN"/>
                    </w:rPr>
                    <w:t>的北工业园区</w:t>
                  </w:r>
                  <w:r>
                    <w:rPr>
                      <w:rFonts w:hint="eastAsia" w:ascii="Times New Roman" w:hAnsi="Times New Roman" w:cs="Times New Roman"/>
                      <w:b w:val="0"/>
                      <w:bCs/>
                      <w:color w:val="auto"/>
                      <w:spacing w:val="0"/>
                      <w:position w:val="0"/>
                      <w:sz w:val="21"/>
                      <w:szCs w:val="21"/>
                      <w:lang w:val="en-US" w:eastAsia="zh-CN"/>
                    </w:rPr>
                    <w:t>，</w:t>
                  </w:r>
                  <w:r>
                    <w:rPr>
                      <w:rFonts w:hint="eastAsia" w:cs="Times New Roman"/>
                      <w:b w:val="0"/>
                      <w:bCs/>
                      <w:color w:val="auto"/>
                      <w:spacing w:val="0"/>
                      <w:position w:val="0"/>
                      <w:sz w:val="21"/>
                      <w:szCs w:val="21"/>
                      <w:lang w:val="en-US" w:eastAsia="zh-CN"/>
                    </w:rPr>
                    <w:t>项目为管件制造项目</w:t>
                  </w:r>
                  <w:r>
                    <w:rPr>
                      <w:rFonts w:hint="eastAsia" w:ascii="Times New Roman" w:hAnsi="Times New Roman" w:eastAsia="宋体"/>
                      <w:color w:val="auto"/>
                      <w:spacing w:val="0"/>
                      <w:position w:val="0"/>
                      <w:sz w:val="21"/>
                      <w:szCs w:val="21"/>
                      <w:highlight w:val="none"/>
                      <w:vertAlign w:val="baseline"/>
                      <w:lang w:val="en-US" w:eastAsia="zh-CN"/>
                    </w:rPr>
                    <w:t>，</w:t>
                  </w:r>
                  <w:r>
                    <w:rPr>
                      <w:rFonts w:hint="eastAsia"/>
                      <w:color w:val="auto"/>
                      <w:spacing w:val="0"/>
                      <w:position w:val="0"/>
                      <w:sz w:val="21"/>
                      <w:szCs w:val="21"/>
                      <w:highlight w:val="none"/>
                      <w:vertAlign w:val="baseline"/>
                      <w:lang w:val="en-US" w:eastAsia="zh-CN"/>
                    </w:rPr>
                    <w:t>属于建材制品制造，</w:t>
                  </w:r>
                  <w:r>
                    <w:rPr>
                      <w:rFonts w:hint="eastAsia" w:ascii="Times New Roman" w:hAnsi="Times New Roman" w:eastAsia="宋体"/>
                      <w:color w:val="auto"/>
                      <w:spacing w:val="0"/>
                      <w:position w:val="0"/>
                      <w:sz w:val="21"/>
                      <w:szCs w:val="21"/>
                      <w:highlight w:val="none"/>
                      <w:vertAlign w:val="baseline"/>
                      <w:lang w:val="en-US" w:eastAsia="zh-CN"/>
                    </w:rPr>
                    <w:t>符合园区产业规划</w:t>
                  </w:r>
                  <w:r>
                    <w:rPr>
                      <w:rFonts w:hint="eastAsia"/>
                      <w:color w:val="auto"/>
                      <w:spacing w:val="0"/>
                      <w:position w:val="0"/>
                      <w:sz w:val="21"/>
                      <w:szCs w:val="21"/>
                      <w:highlight w:val="none"/>
                      <w:vertAlign w:val="baseline"/>
                      <w:lang w:val="en-US" w:eastAsia="zh-CN"/>
                    </w:rPr>
                    <w:t>的“</w:t>
                  </w:r>
                  <w:r>
                    <w:rPr>
                      <w:rFonts w:hint="eastAsia" w:ascii="Times New Roman" w:hAnsi="Times New Roman" w:eastAsia="宋体" w:cs="Times New Roman"/>
                      <w:color w:val="auto"/>
                      <w:spacing w:val="0"/>
                      <w:kern w:val="0"/>
                      <w:position w:val="0"/>
                      <w:sz w:val="21"/>
                      <w:szCs w:val="21"/>
                      <w:lang w:val="en-US" w:eastAsia="zh-CN" w:bidi="ar-SA"/>
                    </w:rPr>
                    <w:t>建材及机械设备制造区</w:t>
                  </w:r>
                  <w:r>
                    <w:rPr>
                      <w:rFonts w:hint="eastAsia"/>
                      <w:color w:val="auto"/>
                      <w:spacing w:val="0"/>
                      <w:position w:val="0"/>
                      <w:sz w:val="21"/>
                      <w:szCs w:val="21"/>
                      <w:highlight w:val="none"/>
                      <w:vertAlign w:val="baseline"/>
                      <w:lang w:val="en-US" w:eastAsia="zh-CN"/>
                    </w:rPr>
                    <w:t>”；根据《新疆生产建设兵团“十四五”生态环境保护规划》“</w:t>
                  </w:r>
                  <w:r>
                    <w:rPr>
                      <w:rFonts w:hint="eastAsia" w:ascii="Times New Roman" w:hAnsi="Times New Roman" w:eastAsia="宋体" w:cs="宋体"/>
                      <w:color w:val="auto"/>
                      <w:spacing w:val="0"/>
                      <w:kern w:val="0"/>
                      <w:position w:val="0"/>
                      <w:sz w:val="21"/>
                      <w:szCs w:val="21"/>
                      <w:lang w:val="en-US" w:eastAsia="zh-CN" w:bidi="ar"/>
                    </w:rPr>
                    <w:t>实施NOx</w:t>
                  </w:r>
                  <w:r>
                    <w:rPr>
                      <w:rFonts w:hint="eastAsia" w:cs="宋体"/>
                      <w:color w:val="auto"/>
                      <w:spacing w:val="0"/>
                      <w:kern w:val="0"/>
                      <w:position w:val="0"/>
                      <w:sz w:val="21"/>
                      <w:szCs w:val="21"/>
                      <w:lang w:val="en-US" w:eastAsia="zh-CN" w:bidi="ar"/>
                    </w:rPr>
                    <w:t>（氮</w:t>
                  </w:r>
                  <w:r>
                    <w:rPr>
                      <w:rFonts w:hint="eastAsia" w:ascii="Times New Roman" w:hAnsi="Times New Roman" w:eastAsia="宋体" w:cs="宋体"/>
                      <w:color w:val="auto"/>
                      <w:spacing w:val="0"/>
                      <w:kern w:val="0"/>
                      <w:position w:val="0"/>
                      <w:sz w:val="21"/>
                      <w:szCs w:val="21"/>
                      <w:lang w:val="en-US" w:eastAsia="zh-CN" w:bidi="ar"/>
                    </w:rPr>
                    <w:t>氧化物</w:t>
                  </w:r>
                  <w:r>
                    <w:rPr>
                      <w:rFonts w:hint="eastAsia" w:cs="宋体"/>
                      <w:color w:val="auto"/>
                      <w:spacing w:val="0"/>
                      <w:kern w:val="0"/>
                      <w:position w:val="0"/>
                      <w:sz w:val="21"/>
                      <w:szCs w:val="21"/>
                      <w:lang w:val="en-US" w:eastAsia="zh-CN" w:bidi="ar"/>
                    </w:rPr>
                    <w:t>）</w:t>
                  </w:r>
                  <w:r>
                    <w:rPr>
                      <w:rFonts w:hint="eastAsia" w:ascii="Times New Roman" w:hAnsi="Times New Roman" w:eastAsia="宋体" w:cs="宋体"/>
                      <w:color w:val="auto"/>
                      <w:spacing w:val="0"/>
                      <w:kern w:val="0"/>
                      <w:position w:val="0"/>
                      <w:sz w:val="21"/>
                      <w:szCs w:val="21"/>
                      <w:lang w:val="en-US" w:eastAsia="zh-CN" w:bidi="ar"/>
                    </w:rPr>
                    <w:t>和VOCs</w:t>
                  </w:r>
                  <w:r>
                    <w:rPr>
                      <w:rFonts w:hint="eastAsia" w:cs="宋体"/>
                      <w:color w:val="auto"/>
                      <w:spacing w:val="0"/>
                      <w:kern w:val="0"/>
                      <w:position w:val="0"/>
                      <w:sz w:val="21"/>
                      <w:szCs w:val="21"/>
                      <w:lang w:val="en-US" w:eastAsia="zh-CN" w:bidi="ar"/>
                    </w:rPr>
                    <w:t>（</w:t>
                  </w:r>
                  <w:r>
                    <w:rPr>
                      <w:rFonts w:hint="eastAsia" w:ascii="Times New Roman" w:hAnsi="Times New Roman" w:eastAsia="宋体" w:cs="宋体"/>
                      <w:color w:val="auto"/>
                      <w:spacing w:val="0"/>
                      <w:kern w:val="0"/>
                      <w:position w:val="0"/>
                      <w:sz w:val="21"/>
                      <w:szCs w:val="21"/>
                      <w:lang w:val="en-US" w:eastAsia="zh-CN" w:bidi="ar"/>
                    </w:rPr>
                    <w:t>挥发性有机物</w:t>
                  </w:r>
                  <w:r>
                    <w:rPr>
                      <w:rFonts w:hint="eastAsia" w:cs="宋体"/>
                      <w:color w:val="auto"/>
                      <w:spacing w:val="0"/>
                      <w:kern w:val="0"/>
                      <w:position w:val="0"/>
                      <w:sz w:val="21"/>
                      <w:szCs w:val="21"/>
                      <w:lang w:val="en-US" w:eastAsia="zh-CN" w:bidi="ar"/>
                    </w:rPr>
                    <w:t>）</w:t>
                  </w:r>
                  <w:r>
                    <w:rPr>
                      <w:rFonts w:hint="eastAsia" w:ascii="Times New Roman" w:hAnsi="Times New Roman" w:eastAsia="宋体" w:cs="宋体"/>
                      <w:color w:val="auto"/>
                      <w:spacing w:val="0"/>
                      <w:kern w:val="0"/>
                      <w:position w:val="0"/>
                      <w:sz w:val="21"/>
                      <w:szCs w:val="21"/>
                      <w:lang w:val="en-US" w:eastAsia="zh-CN" w:bidi="ar"/>
                    </w:rPr>
                    <w:t>协同减排，实现PM</w:t>
                  </w:r>
                  <w:r>
                    <w:rPr>
                      <w:rFonts w:hint="eastAsia" w:ascii="Times New Roman" w:hAnsi="Times New Roman" w:eastAsia="宋体" w:cs="宋体"/>
                      <w:color w:val="auto"/>
                      <w:spacing w:val="0"/>
                      <w:kern w:val="0"/>
                      <w:position w:val="0"/>
                      <w:sz w:val="21"/>
                      <w:szCs w:val="21"/>
                      <w:vertAlign w:val="subscript"/>
                      <w:lang w:val="en-US" w:eastAsia="zh-CN" w:bidi="ar"/>
                    </w:rPr>
                    <w:t>2</w:t>
                  </w:r>
                  <w:r>
                    <w:rPr>
                      <w:rFonts w:hint="eastAsia" w:cs="宋体"/>
                      <w:color w:val="auto"/>
                      <w:spacing w:val="0"/>
                      <w:kern w:val="0"/>
                      <w:position w:val="0"/>
                      <w:sz w:val="21"/>
                      <w:szCs w:val="21"/>
                      <w:vertAlign w:val="subscript"/>
                      <w:lang w:val="en-US" w:eastAsia="zh-CN" w:bidi="ar"/>
                    </w:rPr>
                    <w:t>.</w:t>
                  </w:r>
                  <w:r>
                    <w:rPr>
                      <w:rFonts w:hint="eastAsia" w:ascii="Times New Roman" w:hAnsi="Times New Roman" w:eastAsia="宋体" w:cs="宋体"/>
                      <w:color w:val="auto"/>
                      <w:spacing w:val="0"/>
                      <w:kern w:val="0"/>
                      <w:position w:val="0"/>
                      <w:sz w:val="21"/>
                      <w:szCs w:val="21"/>
                      <w:vertAlign w:val="subscript"/>
                      <w:lang w:val="en-US" w:eastAsia="zh-CN" w:bidi="ar"/>
                    </w:rPr>
                    <w:t>5</w:t>
                  </w:r>
                  <w:r>
                    <w:rPr>
                      <w:rFonts w:hint="eastAsia" w:cs="宋体"/>
                      <w:color w:val="auto"/>
                      <w:spacing w:val="0"/>
                      <w:kern w:val="0"/>
                      <w:position w:val="0"/>
                      <w:sz w:val="21"/>
                      <w:szCs w:val="21"/>
                      <w:lang w:val="en-US" w:eastAsia="zh-CN" w:bidi="ar"/>
                    </w:rPr>
                    <w:t>（</w:t>
                  </w:r>
                  <w:r>
                    <w:rPr>
                      <w:rFonts w:hint="eastAsia" w:ascii="Times New Roman" w:hAnsi="Times New Roman" w:eastAsia="宋体" w:cs="宋体"/>
                      <w:color w:val="auto"/>
                      <w:spacing w:val="0"/>
                      <w:kern w:val="0"/>
                      <w:position w:val="0"/>
                      <w:sz w:val="21"/>
                      <w:szCs w:val="21"/>
                      <w:lang w:val="en-US" w:eastAsia="zh-CN" w:bidi="ar"/>
                    </w:rPr>
                    <w:t>细</w:t>
                  </w:r>
                  <w:r>
                    <w:rPr>
                      <w:rFonts w:hint="eastAsia" w:ascii="Times New Roman" w:hAnsi="Times New Roman" w:eastAsia="宋体" w:cs="宋体"/>
                      <w:color w:val="000000"/>
                      <w:spacing w:val="0"/>
                      <w:kern w:val="0"/>
                      <w:position w:val="0"/>
                      <w:sz w:val="21"/>
                      <w:szCs w:val="21"/>
                      <w:lang w:val="en-US" w:eastAsia="zh-CN" w:bidi="ar"/>
                    </w:rPr>
                    <w:t>颗粒物</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和O</w:t>
                  </w:r>
                  <w:r>
                    <w:rPr>
                      <w:rFonts w:hint="eastAsia" w:cs="宋体"/>
                      <w:color w:val="000000"/>
                      <w:spacing w:val="0"/>
                      <w:kern w:val="0"/>
                      <w:position w:val="0"/>
                      <w:sz w:val="21"/>
                      <w:szCs w:val="21"/>
                      <w:vertAlign w:val="subscript"/>
                      <w:lang w:val="en-US" w:eastAsia="zh-CN" w:bidi="ar"/>
                    </w:rPr>
                    <w:t>3</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臭氧</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双控双减，巩固城市空气质量达标成果。</w:t>
                  </w:r>
                  <w:r>
                    <w:rPr>
                      <w:rFonts w:hint="eastAsia" w:cs="Times New Roman"/>
                      <w:color w:val="000000"/>
                      <w:spacing w:val="0"/>
                      <w:kern w:val="0"/>
                      <w:position w:val="0"/>
                      <w:sz w:val="21"/>
                      <w:szCs w:val="21"/>
                      <w:lang w:val="en-US" w:eastAsia="zh-CN" w:bidi="ar"/>
                    </w:rPr>
                    <w:t>”，本项目注塑挤出过程会产生</w:t>
                  </w:r>
                  <w:r>
                    <w:rPr>
                      <w:rFonts w:hint="eastAsia" w:ascii="Times New Roman" w:hAnsi="Times New Roman" w:eastAsia="宋体" w:cs="宋体"/>
                      <w:color w:val="000000"/>
                      <w:spacing w:val="0"/>
                      <w:kern w:val="0"/>
                      <w:position w:val="0"/>
                      <w:sz w:val="21"/>
                      <w:szCs w:val="21"/>
                      <w:lang w:val="en-US" w:eastAsia="zh-CN" w:bidi="ar"/>
                    </w:rPr>
                    <w:t>VOCs</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挥发性有机物</w:t>
                  </w:r>
                  <w:r>
                    <w:rPr>
                      <w:rFonts w:hint="eastAsia" w:cs="宋体"/>
                      <w:color w:val="000000"/>
                      <w:spacing w:val="0"/>
                      <w:kern w:val="0"/>
                      <w:position w:val="0"/>
                      <w:sz w:val="21"/>
                      <w:szCs w:val="21"/>
                      <w:lang w:val="en-US" w:eastAsia="zh-CN" w:bidi="ar"/>
                    </w:rPr>
                    <w:t>），本环评提出集气罩收集由活性炭吸附脱附再由催化燃烧器处理的环保措施，</w:t>
                  </w:r>
                  <w:r>
                    <w:rPr>
                      <w:rFonts w:hint="eastAsia" w:cs="Times New Roman"/>
                      <w:color w:val="auto"/>
                      <w:spacing w:val="0"/>
                      <w:position w:val="0"/>
                      <w:sz w:val="21"/>
                      <w:szCs w:val="21"/>
                      <w:lang w:val="en-US" w:eastAsia="zh-CN"/>
                    </w:rPr>
                    <w:t>本项目所使用活性炭3个月更换一次，催化剂根据厂家要求6个月更换一次</w:t>
                  </w:r>
                  <w:r>
                    <w:rPr>
                      <w:rFonts w:hint="eastAsia" w:cs="宋体"/>
                      <w:color w:val="000000"/>
                      <w:spacing w:val="0"/>
                      <w:kern w:val="0"/>
                      <w:position w:val="0"/>
                      <w:sz w:val="21"/>
                      <w:szCs w:val="21"/>
                      <w:lang w:val="en-US" w:eastAsia="zh-CN" w:bidi="ar"/>
                    </w:rPr>
                    <w:t>。经计算污染物经过环保措施处理可以达标排放，符合文件中的环境保护规划。本项目资源利用不高，不会突破资源利用上线；项目污染物经过处理均能达标排放，符合文件要求。</w:t>
                  </w:r>
                </w:p>
              </w:tc>
              <w:tc>
                <w:tcPr>
                  <w:tcW w:w="410" w:type="pct"/>
                  <w:tcBorders>
                    <w:tl2br w:val="nil"/>
                    <w:tr2bl w:val="nil"/>
                  </w:tcBorders>
                  <w:noWrap w:val="0"/>
                  <w:vAlign w:val="center"/>
                </w:tcPr>
                <w:p w14:paraId="495FA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符合</w:t>
                  </w:r>
                </w:p>
              </w:tc>
            </w:tr>
            <w:tr w14:paraId="6A56D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l2br w:val="nil"/>
                    <w:tr2bl w:val="nil"/>
                  </w:tcBorders>
                  <w:noWrap w:val="0"/>
                  <w:vAlign w:val="center"/>
                </w:tcPr>
                <w:p w14:paraId="08506EE3">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宋体" w:hAnsi="宋体" w:eastAsia="宋体" w:cs="宋体"/>
                      <w:color w:val="auto"/>
                      <w:spacing w:val="0"/>
                      <w:position w:val="0"/>
                      <w:sz w:val="21"/>
                      <w:szCs w:val="21"/>
                      <w:highlight w:val="none"/>
                      <w:vertAlign w:val="baseline"/>
                      <w:lang w:val="en-US" w:eastAsia="zh-CN"/>
                    </w:rPr>
                    <w:t>（二）减</w:t>
                  </w:r>
                  <w:r>
                    <w:rPr>
                      <w:rFonts w:hint="default" w:ascii="Times New Roman" w:hAnsi="Times New Roman" w:eastAsia="宋体" w:cs="Times New Roman"/>
                      <w:color w:val="auto"/>
                      <w:spacing w:val="0"/>
                      <w:position w:val="0"/>
                      <w:sz w:val="21"/>
                      <w:szCs w:val="21"/>
                      <w:highlight w:val="none"/>
                      <w:vertAlign w:val="baseline"/>
                      <w:lang w:val="en-US" w:eastAsia="zh-CN"/>
                    </w:rPr>
                    <w:t>污降碳，推动园区绿色低碳发展。通过积极转变生产和生活方式、调整能源消费结构、加强资源节约，统筹协调推进经济和社会发展，深入开展应对气候变化工作，切实增强控制温室气体排放能力。以促进经济绿色低碳可持续发展、引导重点行业和开发区向绿色低碳方向转型为目的，针对开发区规划，从碳排放产业规模、结构调整、原料替代，能源利用效率提升，绿色清洁能源利用，废物节能与低碳化处置等方面提出节能减碳建议，协同推进减污降碳。</w:t>
                  </w:r>
                </w:p>
              </w:tc>
              <w:tc>
                <w:tcPr>
                  <w:tcW w:w="1775" w:type="pct"/>
                  <w:tcBorders>
                    <w:tl2br w:val="nil"/>
                    <w:tr2bl w:val="nil"/>
                  </w:tcBorders>
                  <w:noWrap w:val="0"/>
                  <w:vAlign w:val="center"/>
                </w:tcPr>
                <w:p w14:paraId="38D948D9">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项目</w:t>
                  </w:r>
                  <w:r>
                    <w:rPr>
                      <w:rFonts w:hint="eastAsia"/>
                      <w:color w:val="auto"/>
                      <w:spacing w:val="0"/>
                      <w:position w:val="0"/>
                      <w:sz w:val="21"/>
                      <w:szCs w:val="21"/>
                      <w:highlight w:val="none"/>
                      <w:vertAlign w:val="baseline"/>
                      <w:lang w:val="en-US" w:eastAsia="zh-CN"/>
                    </w:rPr>
                    <w:t>产污环节为不合格产品破碎、混料及产品注塑挤出，本环评已提出布袋除尘器，活性炭吸附脱附加催化燃烧器等环保措施处理污染物；项目中产生的不合格产品均破碎回收利用，非生产时段不开启设备，项目中冷却环节采用循环冷却水，提高资源利用率；催化燃烧器最低限度排放温室气体，严格控制温室气体及有机废气等污染物的排放</w:t>
                  </w:r>
                  <w:r>
                    <w:rPr>
                      <w:rFonts w:hint="eastAsia" w:ascii="Times New Roman" w:hAnsi="Times New Roman" w:eastAsia="宋体"/>
                      <w:color w:val="auto"/>
                      <w:spacing w:val="0"/>
                      <w:position w:val="0"/>
                      <w:sz w:val="21"/>
                      <w:szCs w:val="21"/>
                      <w:highlight w:val="none"/>
                      <w:vertAlign w:val="baseline"/>
                      <w:lang w:val="en-US" w:eastAsia="zh-CN"/>
                    </w:rPr>
                    <w:t>，符合</w:t>
                  </w:r>
                  <w:r>
                    <w:rPr>
                      <w:rFonts w:hint="eastAsia"/>
                      <w:color w:val="auto"/>
                      <w:spacing w:val="0"/>
                      <w:position w:val="0"/>
                      <w:sz w:val="21"/>
                      <w:szCs w:val="21"/>
                      <w:highlight w:val="none"/>
                      <w:vertAlign w:val="baseline"/>
                      <w:lang w:val="en-US" w:eastAsia="zh-CN"/>
                    </w:rPr>
                    <w:t>“减污”</w:t>
                  </w:r>
                  <w:r>
                    <w:rPr>
                      <w:rFonts w:hint="eastAsia" w:ascii="Times New Roman" w:hAnsi="Times New Roman" w:eastAsia="宋体"/>
                      <w:color w:val="auto"/>
                      <w:spacing w:val="0"/>
                      <w:position w:val="0"/>
                      <w:sz w:val="21"/>
                      <w:szCs w:val="21"/>
                      <w:highlight w:val="none"/>
                      <w:vertAlign w:val="baseline"/>
                      <w:lang w:val="en-US" w:eastAsia="zh-CN"/>
                    </w:rPr>
                    <w:t>要求。</w:t>
                  </w:r>
                </w:p>
              </w:tc>
              <w:tc>
                <w:tcPr>
                  <w:tcW w:w="410" w:type="pct"/>
                  <w:tcBorders>
                    <w:tl2br w:val="nil"/>
                    <w:tr2bl w:val="nil"/>
                  </w:tcBorders>
                  <w:noWrap w:val="0"/>
                  <w:vAlign w:val="center"/>
                </w:tcPr>
                <w:p w14:paraId="44BF1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符合</w:t>
                  </w:r>
                </w:p>
              </w:tc>
            </w:tr>
            <w:tr w14:paraId="1405F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l2br w:val="nil"/>
                    <w:tr2bl w:val="nil"/>
                  </w:tcBorders>
                  <w:noWrap w:val="0"/>
                  <w:vAlign w:val="center"/>
                </w:tcPr>
                <w:p w14:paraId="15C66A3A">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宋体" w:hAnsi="宋体" w:eastAsia="宋体" w:cs="宋体"/>
                      <w:color w:val="auto"/>
                      <w:spacing w:val="0"/>
                      <w:position w:val="0"/>
                      <w:sz w:val="21"/>
                      <w:szCs w:val="21"/>
                      <w:highlight w:val="none"/>
                      <w:vertAlign w:val="baseline"/>
                      <w:lang w:val="en-US" w:eastAsia="zh-CN"/>
                    </w:rPr>
                    <w:t>（三）</w:t>
                  </w:r>
                  <w:r>
                    <w:rPr>
                      <w:rFonts w:hint="default" w:ascii="Times New Roman" w:hAnsi="Times New Roman" w:eastAsia="宋体" w:cs="Times New Roman"/>
                      <w:color w:val="auto"/>
                      <w:spacing w:val="0"/>
                      <w:position w:val="0"/>
                      <w:sz w:val="21"/>
                      <w:szCs w:val="21"/>
                      <w:highlight w:val="none"/>
                      <w:vertAlign w:val="baseline"/>
                      <w:lang w:val="en-US" w:eastAsia="zh-CN"/>
                    </w:rPr>
                    <w:t>严守生态保护红线，加强空间管控。保护区域大气环境、地表水环境、地下水环境、土壤环境质量，对开发区内企业提出具体管控要求。衔接兵团和师市</w:t>
                  </w:r>
                  <w:r>
                    <w:rPr>
                      <w:rFonts w:hint="eastAsia" w:cs="Times New Roman"/>
                      <w:color w:val="auto"/>
                      <w:spacing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vertAlign w:val="baseline"/>
                      <w:lang w:val="en-US" w:eastAsia="zh-CN"/>
                    </w:rPr>
                    <w:t>三线一单</w:t>
                  </w:r>
                  <w:r>
                    <w:rPr>
                      <w:rFonts w:hint="eastAsia" w:cs="Times New Roman"/>
                      <w:color w:val="auto"/>
                      <w:spacing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vertAlign w:val="baseline"/>
                      <w:lang w:val="en-US" w:eastAsia="zh-CN"/>
                    </w:rPr>
                    <w:t>成果，落实、细化开发区所在生态环境管控单元的管控要求，保障规划实施不突破区域生态保护红线、环境质量底线和资源利用上线。做好与师市国土空间规划的衔接，从全局的角度以资源承载能力和国土空间开发适宜性评价来支撑开发区规划实施，确保开发区周边人居环境质量不降低。</w:t>
                  </w:r>
                </w:p>
              </w:tc>
              <w:tc>
                <w:tcPr>
                  <w:tcW w:w="1775" w:type="pct"/>
                  <w:tcBorders>
                    <w:tl2br w:val="nil"/>
                    <w:tr2bl w:val="nil"/>
                  </w:tcBorders>
                  <w:noWrap w:val="0"/>
                  <w:vAlign w:val="center"/>
                </w:tcPr>
                <w:p w14:paraId="2FA7FA01">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本项目污染物处理后达标排放；本项目生产线仅有循环冷却用水，水资源消耗低；项目</w:t>
                  </w:r>
                  <w:r>
                    <w:rPr>
                      <w:rFonts w:hint="eastAsia"/>
                      <w:color w:val="auto"/>
                      <w:spacing w:val="0"/>
                      <w:position w:val="0"/>
                      <w:sz w:val="21"/>
                      <w:szCs w:val="21"/>
                      <w:highlight w:val="none"/>
                      <w:vertAlign w:val="baseline"/>
                      <w:lang w:val="en-US" w:eastAsia="zh-CN"/>
                    </w:rPr>
                    <w:t>附近不存在地下水；本环评均已提出产污环节的污染治理措施，正常运行不会影响周边环境质量。</w:t>
                  </w:r>
                </w:p>
              </w:tc>
              <w:tc>
                <w:tcPr>
                  <w:tcW w:w="410" w:type="pct"/>
                  <w:tcBorders>
                    <w:tl2br w:val="nil"/>
                    <w:tr2bl w:val="nil"/>
                  </w:tcBorders>
                  <w:noWrap w:val="0"/>
                  <w:vAlign w:val="center"/>
                </w:tcPr>
                <w:p w14:paraId="5479A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符合</w:t>
                  </w:r>
                </w:p>
              </w:tc>
            </w:tr>
            <w:tr w14:paraId="73B9D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813" w:type="pct"/>
                  <w:tcBorders>
                    <w:tl2br w:val="nil"/>
                    <w:tr2bl w:val="nil"/>
                  </w:tcBorders>
                  <w:noWrap w:val="0"/>
                  <w:vAlign w:val="center"/>
                </w:tcPr>
                <w:p w14:paraId="59113D2D">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宋体" w:hAnsi="宋体" w:eastAsia="宋体" w:cs="宋体"/>
                      <w:color w:val="auto"/>
                      <w:spacing w:val="0"/>
                      <w:position w:val="0"/>
                      <w:sz w:val="21"/>
                      <w:szCs w:val="21"/>
                      <w:highlight w:val="none"/>
                      <w:vertAlign w:val="baseline"/>
                      <w:lang w:val="en-US" w:eastAsia="zh-CN"/>
                    </w:rPr>
                    <w:t>（四）</w:t>
                  </w:r>
                  <w:r>
                    <w:rPr>
                      <w:rFonts w:hint="eastAsia" w:ascii="Times New Roman" w:hAnsi="Times New Roman" w:eastAsia="宋体" w:cs="Times New Roman"/>
                      <w:color w:val="auto"/>
                      <w:spacing w:val="0"/>
                      <w:position w:val="0"/>
                      <w:sz w:val="21"/>
                      <w:szCs w:val="21"/>
                      <w:highlight w:val="none"/>
                      <w:vertAlign w:val="baseline"/>
                      <w:lang w:val="en-US" w:eastAsia="zh-CN"/>
                    </w:rPr>
                    <w:t>坚守环境质量底线，严格污染物总量管控。落实重点行业区域削减措施，纳入日常环境管理工作，建立考核机制，并与排污许可制度衔接。推进现有企业工艺技术和污染治理技术改造，各类污染物排放须满足国家及自治区最新污染物排放标准要求。对与开发区规划不相符的现有企业提出转型或搬迁要求，</w:t>
                  </w:r>
                </w:p>
              </w:tc>
              <w:tc>
                <w:tcPr>
                  <w:tcW w:w="1775" w:type="pct"/>
                  <w:tcBorders>
                    <w:tl2br w:val="nil"/>
                    <w:tr2bl w:val="nil"/>
                  </w:tcBorders>
                  <w:noWrap w:val="0"/>
                  <w:vAlign w:val="center"/>
                </w:tcPr>
                <w:p w14:paraId="765782FD">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本项目污染物处理采用</w:t>
                  </w:r>
                  <w:r>
                    <w:rPr>
                      <w:rFonts w:hint="eastAsia"/>
                      <w:color w:val="auto"/>
                      <w:spacing w:val="0"/>
                      <w:position w:val="0"/>
                      <w:sz w:val="21"/>
                      <w:szCs w:val="21"/>
                      <w:highlight w:val="none"/>
                      <w:vertAlign w:val="baseline"/>
                      <w:lang w:val="en-US" w:eastAsia="zh-CN"/>
                    </w:rPr>
                    <w:t>布袋除尘器和</w:t>
                  </w:r>
                  <w:r>
                    <w:rPr>
                      <w:rFonts w:hint="eastAsia" w:ascii="Times New Roman" w:hAnsi="Times New Roman" w:eastAsia="宋体"/>
                      <w:color w:val="auto"/>
                      <w:spacing w:val="0"/>
                      <w:position w:val="0"/>
                      <w:sz w:val="21"/>
                      <w:szCs w:val="21"/>
                      <w:highlight w:val="none"/>
                      <w:vertAlign w:val="baseline"/>
                      <w:lang w:val="en-US" w:eastAsia="zh-CN"/>
                    </w:rPr>
                    <w:t>催化燃烧</w:t>
                  </w:r>
                  <w:r>
                    <w:rPr>
                      <w:rFonts w:hint="eastAsia"/>
                      <w:color w:val="auto"/>
                      <w:spacing w:val="0"/>
                      <w:position w:val="0"/>
                      <w:sz w:val="21"/>
                      <w:szCs w:val="21"/>
                      <w:highlight w:val="none"/>
                      <w:vertAlign w:val="baseline"/>
                      <w:lang w:val="en-US" w:eastAsia="zh-CN"/>
                    </w:rPr>
                    <w:t>器</w:t>
                  </w:r>
                  <w:r>
                    <w:rPr>
                      <w:rFonts w:hint="eastAsia" w:ascii="Times New Roman" w:hAnsi="Times New Roman" w:eastAsia="宋体"/>
                      <w:color w:val="auto"/>
                      <w:spacing w:val="0"/>
                      <w:position w:val="0"/>
                      <w:sz w:val="21"/>
                      <w:szCs w:val="21"/>
                      <w:highlight w:val="none"/>
                      <w:vertAlign w:val="baseline"/>
                      <w:lang w:val="en-US" w:eastAsia="zh-CN"/>
                    </w:rPr>
                    <w:t>，该处理</w:t>
                  </w:r>
                  <w:r>
                    <w:rPr>
                      <w:rFonts w:hint="eastAsia"/>
                      <w:color w:val="auto"/>
                      <w:spacing w:val="0"/>
                      <w:position w:val="0"/>
                      <w:sz w:val="21"/>
                      <w:szCs w:val="21"/>
                      <w:highlight w:val="none"/>
                      <w:vertAlign w:val="baseline"/>
                      <w:lang w:val="en-US" w:eastAsia="zh-CN"/>
                    </w:rPr>
                    <w:t>技术为行业内先进水平，并且正常运行情况下污染物经过处理后排放浓度符合排放标准要求</w:t>
                  </w:r>
                  <w:r>
                    <w:rPr>
                      <w:rFonts w:hint="eastAsia" w:ascii="Times New Roman" w:hAnsi="Times New Roman" w:eastAsia="宋体"/>
                      <w:color w:val="auto"/>
                      <w:spacing w:val="0"/>
                      <w:position w:val="0"/>
                      <w:sz w:val="21"/>
                      <w:szCs w:val="21"/>
                      <w:highlight w:val="none"/>
                      <w:vertAlign w:val="baseline"/>
                      <w:lang w:val="en-US" w:eastAsia="zh-CN"/>
                    </w:rPr>
                    <w:t>。</w:t>
                  </w:r>
                  <w:r>
                    <w:rPr>
                      <w:rFonts w:hint="eastAsia"/>
                      <w:color w:val="auto"/>
                      <w:spacing w:val="0"/>
                      <w:position w:val="0"/>
                      <w:sz w:val="21"/>
                      <w:szCs w:val="21"/>
                      <w:highlight w:val="none"/>
                      <w:vertAlign w:val="baseline"/>
                      <w:lang w:val="en-US" w:eastAsia="zh-CN"/>
                    </w:rPr>
                    <w:t>因此本项目符合</w:t>
                  </w:r>
                  <w:r>
                    <w:rPr>
                      <w:rFonts w:hint="eastAsia" w:ascii="Times New Roman" w:hAnsi="Times New Roman" w:eastAsia="宋体" w:cs="Times New Roman"/>
                      <w:color w:val="auto"/>
                      <w:spacing w:val="0"/>
                      <w:position w:val="0"/>
                      <w:sz w:val="21"/>
                      <w:szCs w:val="21"/>
                      <w:highlight w:val="none"/>
                      <w:vertAlign w:val="baseline"/>
                      <w:lang w:val="en-US" w:eastAsia="zh-CN"/>
                    </w:rPr>
                    <w:t>坚守环境质量底线</w:t>
                  </w:r>
                  <w:r>
                    <w:rPr>
                      <w:rFonts w:hint="eastAsia" w:cs="Times New Roman"/>
                      <w:color w:val="auto"/>
                      <w:spacing w:val="0"/>
                      <w:position w:val="0"/>
                      <w:sz w:val="21"/>
                      <w:szCs w:val="21"/>
                      <w:highlight w:val="none"/>
                      <w:vertAlign w:val="baseline"/>
                      <w:lang w:val="en-US" w:eastAsia="zh-CN"/>
                    </w:rPr>
                    <w:t>。</w:t>
                  </w:r>
                  <w:r>
                    <w:rPr>
                      <w:rFonts w:hint="eastAsia" w:ascii="Times New Roman" w:hAnsi="Times New Roman" w:eastAsia="宋体" w:cs="Times New Roman"/>
                      <w:color w:val="auto"/>
                      <w:spacing w:val="0"/>
                      <w:position w:val="0"/>
                      <w:sz w:val="21"/>
                      <w:szCs w:val="21"/>
                      <w:lang w:val="en-US" w:eastAsia="zh-CN"/>
                    </w:rPr>
                    <w:t>本项目</w:t>
                  </w:r>
                  <w:r>
                    <w:rPr>
                      <w:rFonts w:hint="eastAsia" w:cs="Times New Roman"/>
                      <w:color w:val="auto"/>
                      <w:spacing w:val="0"/>
                      <w:position w:val="0"/>
                      <w:sz w:val="21"/>
                      <w:szCs w:val="21"/>
                      <w:lang w:val="en-US" w:eastAsia="zh-CN"/>
                    </w:rPr>
                    <w:t>新建</w:t>
                  </w:r>
                  <w:r>
                    <w:rPr>
                      <w:rFonts w:hint="eastAsia" w:ascii="Times New Roman" w:hAnsi="Times New Roman" w:eastAsia="宋体" w:cs="Times New Roman"/>
                      <w:color w:val="auto"/>
                      <w:spacing w:val="0"/>
                      <w:position w:val="0"/>
                      <w:sz w:val="21"/>
                      <w:szCs w:val="21"/>
                      <w:lang w:val="en-US" w:eastAsia="zh-CN"/>
                    </w:rPr>
                    <w:t>生产线</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rPr>
                    <w:t>总排放量为</w:t>
                  </w:r>
                  <w:r>
                    <w:rPr>
                      <w:rFonts w:hint="eastAsia" w:cs="Times New Roman"/>
                      <w:color w:val="auto"/>
                      <w:spacing w:val="0"/>
                      <w:position w:val="0"/>
                      <w:sz w:val="21"/>
                      <w:szCs w:val="21"/>
                      <w:lang w:val="en-US" w:eastAsia="zh-CN"/>
                    </w:rPr>
                    <w:t>2.16</w:t>
                  </w:r>
                  <w:r>
                    <w:rPr>
                      <w:rFonts w:hint="eastAsia" w:ascii="Times New Roman" w:hAnsi="Times New Roman" w:eastAsia="宋体" w:cs="Times New Roman"/>
                      <w:color w:val="auto"/>
                      <w:spacing w:val="0"/>
                      <w:position w:val="0"/>
                      <w:sz w:val="21"/>
                      <w:szCs w:val="21"/>
                    </w:rPr>
                    <w:t>t/a</w:t>
                  </w:r>
                  <w:r>
                    <w:rPr>
                      <w:rFonts w:hint="eastAsia" w:ascii="Times New Roman" w:hAnsi="Times New Roman" w:eastAsia="宋体" w:cs="Times New Roman"/>
                      <w:color w:val="auto"/>
                      <w:spacing w:val="0"/>
                      <w:position w:val="0"/>
                      <w:sz w:val="21"/>
                      <w:szCs w:val="21"/>
                      <w:lang w:eastAsia="zh-CN"/>
                    </w:rPr>
                    <w:t>，</w:t>
                  </w:r>
                  <w:r>
                    <w:rPr>
                      <w:rFonts w:hint="eastAsia" w:cs="Times New Roman"/>
                      <w:color w:val="auto"/>
                      <w:spacing w:val="0"/>
                      <w:position w:val="0"/>
                      <w:sz w:val="21"/>
                      <w:szCs w:val="21"/>
                      <w:lang w:val="en-US" w:eastAsia="zh-CN"/>
                    </w:rPr>
                    <w:t>由于本项目位于“奎-独-乌”大气重点联防联控区域，</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vertAlign w:val="baseline"/>
                      <w:lang w:val="en-US" w:eastAsia="zh-CN"/>
                    </w:rPr>
                    <w:t>要执行2倍量替代原则，</w:t>
                  </w:r>
                  <w:r>
                    <w:rPr>
                      <w:rFonts w:hint="eastAsia" w:cs="Times New Roman"/>
                      <w:color w:val="auto"/>
                      <w:spacing w:val="0"/>
                      <w:position w:val="0"/>
                      <w:sz w:val="21"/>
                      <w:szCs w:val="21"/>
                      <w:vertAlign w:val="baseline"/>
                      <w:lang w:val="en-US" w:eastAsia="zh-CN"/>
                    </w:rPr>
                    <w:t>则</w:t>
                  </w:r>
                  <w:r>
                    <w:rPr>
                      <w:rFonts w:hint="eastAsia" w:ascii="Times New Roman" w:hAnsi="Times New Roman" w:eastAsia="宋体" w:cs="Times New Roman"/>
                      <w:color w:val="auto"/>
                      <w:spacing w:val="0"/>
                      <w:position w:val="0"/>
                      <w:sz w:val="21"/>
                      <w:szCs w:val="21"/>
                    </w:rPr>
                    <w:t>本项目</w:t>
                  </w:r>
                  <w:r>
                    <w:rPr>
                      <w:rFonts w:hint="eastAsia" w:cs="Times New Roman"/>
                      <w:color w:val="auto"/>
                      <w:spacing w:val="0"/>
                      <w:position w:val="0"/>
                      <w:sz w:val="21"/>
                      <w:szCs w:val="21"/>
                      <w:lang w:val="en-US" w:eastAsia="zh-CN"/>
                    </w:rPr>
                    <w:t>需要</w:t>
                  </w:r>
                  <w:r>
                    <w:rPr>
                      <w:rFonts w:hint="eastAsia" w:ascii="Times New Roman" w:hAnsi="Times New Roman" w:eastAsia="宋体" w:cs="Times New Roman"/>
                      <w:color w:val="auto"/>
                      <w:spacing w:val="0"/>
                      <w:position w:val="0"/>
                      <w:sz w:val="21"/>
                      <w:szCs w:val="21"/>
                      <w:lang w:val="en-US" w:eastAsia="zh-CN"/>
                    </w:rPr>
                    <w:t>申请</w:t>
                  </w:r>
                  <w:r>
                    <w:rPr>
                      <w:rFonts w:hint="eastAsia" w:cs="Times New Roman"/>
                      <w:color w:val="auto"/>
                      <w:spacing w:val="0"/>
                      <w:position w:val="0"/>
                      <w:sz w:val="21"/>
                      <w:szCs w:val="21"/>
                      <w:lang w:val="en-US" w:eastAsia="zh-CN"/>
                    </w:rPr>
                    <w:t>的</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rPr>
                    <w:t>总量指标</w:t>
                  </w:r>
                  <w:r>
                    <w:rPr>
                      <w:rFonts w:hint="eastAsia" w:cs="Times New Roman"/>
                      <w:color w:val="auto"/>
                      <w:spacing w:val="0"/>
                      <w:position w:val="0"/>
                      <w:sz w:val="21"/>
                      <w:szCs w:val="21"/>
                      <w:lang w:val="en-US" w:eastAsia="zh-CN"/>
                    </w:rPr>
                    <w:t>倍量替代</w:t>
                  </w:r>
                  <w:r>
                    <w:rPr>
                      <w:rFonts w:hint="eastAsia" w:ascii="Times New Roman" w:hAnsi="Times New Roman" w:eastAsia="宋体" w:cs="Times New Roman"/>
                      <w:color w:val="auto"/>
                      <w:spacing w:val="0"/>
                      <w:position w:val="0"/>
                      <w:sz w:val="21"/>
                      <w:szCs w:val="21"/>
                    </w:rPr>
                    <w:t>为</w:t>
                  </w:r>
                  <w:r>
                    <w:rPr>
                      <w:rFonts w:hint="eastAsia" w:cs="Times New Roman"/>
                      <w:color w:val="auto"/>
                      <w:spacing w:val="0"/>
                      <w:position w:val="0"/>
                      <w:sz w:val="21"/>
                      <w:szCs w:val="21"/>
                      <w:lang w:val="en-US" w:eastAsia="zh-CN"/>
                    </w:rPr>
                    <w:t>4.32</w:t>
                  </w:r>
                  <w:r>
                    <w:rPr>
                      <w:rFonts w:hint="eastAsia" w:ascii="Times New Roman" w:hAnsi="Times New Roman" w:eastAsia="宋体" w:cs="Times New Roman"/>
                      <w:color w:val="auto"/>
                      <w:spacing w:val="0"/>
                      <w:position w:val="0"/>
                      <w:sz w:val="21"/>
                      <w:szCs w:val="21"/>
                    </w:rPr>
                    <w:t>t/a</w:t>
                  </w:r>
                  <w:r>
                    <w:rPr>
                      <w:rFonts w:hint="eastAsia" w:cs="Times New Roman"/>
                      <w:color w:val="auto"/>
                      <w:spacing w:val="0"/>
                      <w:position w:val="0"/>
                      <w:sz w:val="21"/>
                      <w:szCs w:val="21"/>
                      <w:highlight w:val="none"/>
                      <w:vertAlign w:val="baseline"/>
                      <w:lang w:val="en-US" w:eastAsia="zh-CN"/>
                    </w:rPr>
                    <w:t>。</w:t>
                  </w:r>
                </w:p>
              </w:tc>
              <w:tc>
                <w:tcPr>
                  <w:tcW w:w="410" w:type="pct"/>
                  <w:tcBorders>
                    <w:tl2br w:val="nil"/>
                    <w:tr2bl w:val="nil"/>
                  </w:tcBorders>
                  <w:noWrap w:val="0"/>
                  <w:vAlign w:val="center"/>
                </w:tcPr>
                <w:p w14:paraId="7D8D1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ascii="Times New Roman" w:hAnsi="Times New Roman" w:eastAsia="宋体"/>
                      <w:color w:val="auto"/>
                      <w:spacing w:val="0"/>
                      <w:position w:val="0"/>
                      <w:sz w:val="21"/>
                      <w:szCs w:val="21"/>
                      <w:highlight w:val="none"/>
                      <w:vertAlign w:val="baseline"/>
                      <w:lang w:val="en-US" w:eastAsia="zh-CN"/>
                    </w:rPr>
                    <w:t>符合</w:t>
                  </w:r>
                </w:p>
              </w:tc>
            </w:tr>
            <w:tr w14:paraId="31199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813" w:type="pct"/>
                  <w:tcBorders>
                    <w:tl2br w:val="nil"/>
                    <w:tr2bl w:val="nil"/>
                  </w:tcBorders>
                  <w:noWrap w:val="0"/>
                  <w:vAlign w:val="center"/>
                </w:tcPr>
                <w:p w14:paraId="27F5F24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宋体" w:hAnsi="宋体" w:eastAsia="宋体" w:cs="宋体"/>
                      <w:color w:val="auto"/>
                      <w:spacing w:val="0"/>
                      <w:kern w:val="2"/>
                      <w:position w:val="0"/>
                      <w:sz w:val="21"/>
                      <w:szCs w:val="21"/>
                      <w:highlight w:val="none"/>
                      <w:vertAlign w:val="baseline"/>
                      <w:lang w:val="en-US" w:eastAsia="zh-CN" w:bidi="ar-SA"/>
                    </w:rPr>
                    <w:t>（五）</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严格资源利用总量和强度</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双控</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，制定入区产业和项目的环境准入条件。坚持</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以水定产、以水定量</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优化调整开发区的产业结构、规模和布局，严格入区产业和项目的环境准入，严格按照规划产业布局入驻企业，结合区域发展定位、开发布局、生态环境保护目标，实行入区企业环保准入审核制度，不符合产业政策、行业准入条件、生态环境准入清单及自治区党委明令禁止的</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三高</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项目一律不得入驻开发区。引进项目的生产工艺、设备、污染治理技术，以及单位产品能耗、物耗、污染物排放和资源利用率均需达到同行业清洁生产国内先进水平，积极推进产业的技术进步和开发区循环化改造，构建绿色、低碳开发区。开发区水资源利用不得突破《新疆用水总量控制方案》确定的胡杨河市水资源利用上线指标，土地资源利用不得突破胡杨河市国土空间规划确定的新增建设用地规模</w:t>
                  </w:r>
                </w:p>
              </w:tc>
              <w:tc>
                <w:tcPr>
                  <w:tcW w:w="1775" w:type="pct"/>
                  <w:tcBorders>
                    <w:tl2br w:val="nil"/>
                    <w:tr2bl w:val="nil"/>
                  </w:tcBorders>
                  <w:noWrap w:val="0"/>
                  <w:vAlign w:val="center"/>
                </w:tcPr>
                <w:p w14:paraId="123C2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本项目产污工序均提出高效环保措施，使污染物达标排放；生产过程仅使用循环冷却水，用水量较小；</w:t>
                  </w:r>
                  <w:r>
                    <w:rPr>
                      <w:rFonts w:hint="eastAsia" w:ascii="Times New Roman" w:hAnsi="Times New Roman" w:eastAsia="宋体"/>
                      <w:color w:val="auto"/>
                      <w:spacing w:val="0"/>
                      <w:position w:val="0"/>
                      <w:sz w:val="21"/>
                      <w:szCs w:val="21"/>
                      <w:highlight w:val="none"/>
                      <w:vertAlign w:val="baseline"/>
                      <w:lang w:val="en-US" w:eastAsia="zh-CN"/>
                    </w:rPr>
                    <w:t>项目不生产时设备全部关停，</w:t>
                  </w:r>
                  <w:r>
                    <w:rPr>
                      <w:rFonts w:hint="eastAsia"/>
                      <w:color w:val="auto"/>
                      <w:spacing w:val="0"/>
                      <w:position w:val="0"/>
                      <w:sz w:val="21"/>
                      <w:szCs w:val="21"/>
                      <w:highlight w:val="none"/>
                      <w:vertAlign w:val="baseline"/>
                      <w:lang w:val="en-US" w:eastAsia="zh-CN"/>
                    </w:rPr>
                    <w:t>本项目用水为生产线冷却用水和职工生活用水，计划年用水量为336t/a，年用电量为</w:t>
                  </w:r>
                  <w:r>
                    <w:rPr>
                      <w:rFonts w:hint="eastAsia" w:ascii="Times New Roman" w:hAnsi="Times New Roman" w:eastAsia="宋体" w:cs="Times New Roman"/>
                      <w:color w:val="auto"/>
                      <w:spacing w:val="0"/>
                      <w:position w:val="0"/>
                      <w:sz w:val="21"/>
                      <w:szCs w:val="21"/>
                      <w:highlight w:val="none"/>
                      <w:lang w:val="en-US" w:eastAsia="zh-CN"/>
                    </w:rPr>
                    <w:t>200</w:t>
                  </w:r>
                  <w:r>
                    <w:rPr>
                      <w:rFonts w:hint="default" w:ascii="Times New Roman" w:hAnsi="Times New Roman" w:cs="Times New Roman"/>
                      <w:color w:val="auto"/>
                      <w:spacing w:val="0"/>
                      <w:kern w:val="0"/>
                      <w:position w:val="0"/>
                      <w:sz w:val="21"/>
                      <w:szCs w:val="21"/>
                      <w:lang w:eastAsia="zh-CN"/>
                    </w:rPr>
                    <w:t>万</w:t>
                  </w:r>
                  <w:r>
                    <w:rPr>
                      <w:rFonts w:hint="default" w:ascii="Times New Roman" w:hAnsi="Times New Roman" w:cs="Times New Roman"/>
                      <w:color w:val="auto"/>
                      <w:spacing w:val="0"/>
                      <w:kern w:val="0"/>
                      <w:position w:val="0"/>
                      <w:sz w:val="21"/>
                      <w:szCs w:val="21"/>
                    </w:rPr>
                    <w:t>kW·h/a</w:t>
                  </w:r>
                  <w:r>
                    <w:rPr>
                      <w:rFonts w:hint="eastAsia" w:cs="Times New Roman"/>
                      <w:color w:val="auto"/>
                      <w:spacing w:val="0"/>
                      <w:kern w:val="0"/>
                      <w:position w:val="0"/>
                      <w:sz w:val="21"/>
                      <w:szCs w:val="21"/>
                      <w:lang w:eastAsia="zh-CN"/>
                    </w:rPr>
                    <w:t>，</w:t>
                  </w:r>
                  <w:r>
                    <w:rPr>
                      <w:rFonts w:hint="eastAsia" w:ascii="Times New Roman" w:hAnsi="Times New Roman" w:eastAsia="宋体"/>
                      <w:color w:val="auto"/>
                      <w:spacing w:val="0"/>
                      <w:position w:val="0"/>
                      <w:sz w:val="21"/>
                      <w:szCs w:val="21"/>
                      <w:highlight w:val="none"/>
                      <w:vertAlign w:val="baseline"/>
                      <w:lang w:val="en-US" w:eastAsia="zh-CN"/>
                    </w:rPr>
                    <w:t>项目能耗不高，因此本项目不属于</w:t>
                  </w:r>
                  <w:r>
                    <w:rPr>
                      <w:rFonts w:hint="eastAsia"/>
                      <w:color w:val="auto"/>
                      <w:spacing w:val="0"/>
                      <w:position w:val="0"/>
                      <w:sz w:val="21"/>
                      <w:szCs w:val="21"/>
                      <w:highlight w:val="none"/>
                      <w:vertAlign w:val="baseline"/>
                      <w:lang w:val="en-US" w:eastAsia="zh-CN"/>
                    </w:rPr>
                    <w:t>“</w:t>
                  </w:r>
                  <w:r>
                    <w:rPr>
                      <w:rFonts w:hint="eastAsia" w:ascii="Times New Roman" w:hAnsi="Times New Roman" w:eastAsia="宋体"/>
                      <w:color w:val="auto"/>
                      <w:spacing w:val="0"/>
                      <w:position w:val="0"/>
                      <w:sz w:val="21"/>
                      <w:szCs w:val="21"/>
                      <w:highlight w:val="none"/>
                      <w:vertAlign w:val="baseline"/>
                      <w:lang w:val="en-US" w:eastAsia="zh-CN"/>
                    </w:rPr>
                    <w:t>三高</w:t>
                  </w:r>
                  <w:r>
                    <w:rPr>
                      <w:rFonts w:hint="eastAsia"/>
                      <w:color w:val="auto"/>
                      <w:spacing w:val="0"/>
                      <w:position w:val="0"/>
                      <w:sz w:val="21"/>
                      <w:szCs w:val="21"/>
                      <w:highlight w:val="none"/>
                      <w:vertAlign w:val="baseline"/>
                      <w:lang w:val="en-US" w:eastAsia="zh-CN"/>
                    </w:rPr>
                    <w:t>”</w:t>
                  </w:r>
                  <w:r>
                    <w:rPr>
                      <w:rFonts w:hint="eastAsia" w:ascii="Times New Roman" w:hAnsi="Times New Roman" w:eastAsia="宋体"/>
                      <w:color w:val="auto"/>
                      <w:spacing w:val="0"/>
                      <w:position w:val="0"/>
                      <w:sz w:val="21"/>
                      <w:szCs w:val="21"/>
                      <w:highlight w:val="none"/>
                      <w:vertAlign w:val="baseline"/>
                      <w:lang w:val="en-US" w:eastAsia="zh-CN"/>
                    </w:rPr>
                    <w:t>行业</w:t>
                  </w:r>
                  <w:r>
                    <w:rPr>
                      <w:rFonts w:hint="eastAsia"/>
                      <w:color w:val="auto"/>
                      <w:spacing w:val="0"/>
                      <w:position w:val="0"/>
                      <w:sz w:val="21"/>
                      <w:szCs w:val="21"/>
                      <w:highlight w:val="none"/>
                      <w:vertAlign w:val="baseline"/>
                      <w:lang w:val="en-US" w:eastAsia="zh-CN"/>
                    </w:rPr>
                    <w:t>。本项目环保措施中催化燃烧器属于业内先进水平。本项目资源利用少，用水量不会突破</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《新疆用水总量控制方案》确定的胡杨河市水资源利用上线指标</w:t>
                  </w:r>
                  <w:r>
                    <w:rPr>
                      <w:rFonts w:hint="eastAsia" w:cs="Times New Roman"/>
                      <w:color w:val="auto"/>
                      <w:spacing w:val="0"/>
                      <w:kern w:val="2"/>
                      <w:position w:val="0"/>
                      <w:sz w:val="21"/>
                      <w:szCs w:val="21"/>
                      <w:highlight w:val="none"/>
                      <w:vertAlign w:val="baseline"/>
                      <w:lang w:val="en-US" w:eastAsia="zh-CN" w:bidi="ar-SA"/>
                    </w:rPr>
                    <w:t>，</w:t>
                  </w:r>
                  <w:r>
                    <w:rPr>
                      <w:rFonts w:hint="eastAsia"/>
                      <w:color w:val="auto"/>
                      <w:spacing w:val="0"/>
                      <w:position w:val="0"/>
                      <w:sz w:val="21"/>
                      <w:szCs w:val="21"/>
                      <w:highlight w:val="none"/>
                      <w:vertAlign w:val="baseline"/>
                      <w:lang w:val="en-US" w:eastAsia="zh-CN"/>
                    </w:rPr>
                    <w:t>占地位于规划的工业园区内，符合文件要求。</w:t>
                  </w:r>
                </w:p>
              </w:tc>
              <w:tc>
                <w:tcPr>
                  <w:tcW w:w="410" w:type="pct"/>
                  <w:tcBorders>
                    <w:tl2br w:val="nil"/>
                    <w:tr2bl w:val="nil"/>
                  </w:tcBorders>
                  <w:noWrap w:val="0"/>
                  <w:vAlign w:val="center"/>
                </w:tcPr>
                <w:p w14:paraId="62842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符合</w:t>
                  </w:r>
                </w:p>
              </w:tc>
            </w:tr>
            <w:tr w14:paraId="53FB0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813" w:type="pct"/>
                  <w:tcBorders>
                    <w:tl2br w:val="nil"/>
                    <w:tr2bl w:val="nil"/>
                  </w:tcBorders>
                  <w:noWrap w:val="0"/>
                  <w:vAlign w:val="center"/>
                </w:tcPr>
                <w:p w14:paraId="1CC57BB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宋体" w:hAnsi="宋体" w:eastAsia="宋体" w:cs="宋体"/>
                      <w:color w:val="auto"/>
                      <w:spacing w:val="0"/>
                      <w:kern w:val="2"/>
                      <w:position w:val="0"/>
                      <w:sz w:val="21"/>
                      <w:szCs w:val="21"/>
                      <w:highlight w:val="none"/>
                      <w:vertAlign w:val="baseline"/>
                      <w:lang w:val="en-US" w:eastAsia="zh-CN" w:bidi="ar-SA"/>
                    </w:rPr>
                    <w:t>（六）</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加快完善开发区环境基础设施建设，推进区域环境质量持续改善和提升。按照</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清污分流</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污污分治</w:t>
                  </w:r>
                  <w:r>
                    <w:rPr>
                      <w:rFonts w:hint="eastAsia"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原则规划、设计和建设开发区排水系统、废</w:t>
                  </w:r>
                  <w:r>
                    <w:rPr>
                      <w:rFonts w:hint="eastAsia" w:ascii="宋体" w:hAnsi="宋体" w:eastAsia="宋体" w:cs="宋体"/>
                      <w:color w:val="auto"/>
                      <w:spacing w:val="0"/>
                      <w:kern w:val="2"/>
                      <w:position w:val="0"/>
                      <w:sz w:val="21"/>
                      <w:szCs w:val="21"/>
                      <w:highlight w:val="none"/>
                      <w:vertAlign w:val="baseline"/>
                      <w:lang w:val="en-US" w:eastAsia="zh-CN" w:bidi="ar-SA"/>
                    </w:rPr>
                    <w:t>（污）</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水处理系统和中水回用系统，逐步建成完整的排水和中水回用体系，提高废</w:t>
                  </w: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污</w:t>
                  </w:r>
                  <w:r>
                    <w:rPr>
                      <w:rFonts w:hint="eastAsia" w:ascii="Times New Roman" w:hAnsi="Times New Roman" w:eastAsia="宋体" w:cs="Times New Roman"/>
                      <w:color w:val="auto"/>
                      <w:spacing w:val="0"/>
                      <w:kern w:val="2"/>
                      <w:position w:val="0"/>
                      <w:sz w:val="21"/>
                      <w:szCs w:val="21"/>
                      <w:highlight w:val="none"/>
                      <w:vertAlign w:val="baseline"/>
                      <w:lang w:val="en-US" w:eastAsia="zh-CN" w:bidi="ar-SA"/>
                    </w:rPr>
                    <w:t>）</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水回用率。严格按照国家有关规定，依法依规合理地贮存、处置和处理危险废物。</w:t>
                  </w:r>
                </w:p>
              </w:tc>
              <w:tc>
                <w:tcPr>
                  <w:tcW w:w="1775" w:type="pct"/>
                  <w:tcBorders>
                    <w:tl2br w:val="nil"/>
                    <w:tr2bl w:val="nil"/>
                  </w:tcBorders>
                  <w:noWrap w:val="0"/>
                  <w:vAlign w:val="center"/>
                </w:tcPr>
                <w:p w14:paraId="35FBA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本项目产污工序混料、破碎及注塑挤出均已分别提出布袋除尘器、活性炭吸附脱附+催化燃烧器的环保措施。厂区内废水最终排入</w:t>
                  </w:r>
                  <w:r>
                    <w:rPr>
                      <w:rFonts w:hint="eastAsia" w:ascii="Times New Roman" w:hAnsi="Times New Roman" w:eastAsia="宋体" w:cs="Times New Roman"/>
                      <w:color w:val="auto"/>
                      <w:spacing w:val="0"/>
                      <w:position w:val="0"/>
                      <w:sz w:val="21"/>
                      <w:szCs w:val="21"/>
                    </w:rPr>
                    <w:t>天北经开区</w:t>
                  </w:r>
                  <w:r>
                    <w:rPr>
                      <w:rFonts w:hint="eastAsia"/>
                      <w:color w:val="auto"/>
                      <w:spacing w:val="0"/>
                      <w:position w:val="0"/>
                      <w:sz w:val="21"/>
                      <w:szCs w:val="21"/>
                      <w:highlight w:val="none"/>
                      <w:vertAlign w:val="baseline"/>
                      <w:lang w:val="en-US" w:eastAsia="zh-CN"/>
                    </w:rPr>
                    <w:t>污水处理厂。本项目产生的危险废物（废活性炭、废催化剂、废矿物油）存放于危废暂存间交由有资质的单位处理。</w:t>
                  </w:r>
                </w:p>
              </w:tc>
              <w:tc>
                <w:tcPr>
                  <w:tcW w:w="410" w:type="pct"/>
                  <w:tcBorders>
                    <w:tl2br w:val="nil"/>
                    <w:tr2bl w:val="nil"/>
                  </w:tcBorders>
                  <w:noWrap w:val="0"/>
                  <w:vAlign w:val="center"/>
                </w:tcPr>
                <w:p w14:paraId="77FD0F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符合</w:t>
                  </w:r>
                </w:p>
              </w:tc>
            </w:tr>
            <w:tr w14:paraId="665EF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3" w:type="pct"/>
                  <w:tcBorders>
                    <w:tl2br w:val="nil"/>
                    <w:tr2bl w:val="nil"/>
                  </w:tcBorders>
                  <w:noWrap w:val="0"/>
                  <w:vAlign w:val="center"/>
                </w:tcPr>
                <w:p w14:paraId="239256D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宋体" w:hAnsi="宋体" w:eastAsia="宋体" w:cs="宋体"/>
                      <w:color w:val="auto"/>
                      <w:spacing w:val="0"/>
                      <w:kern w:val="2"/>
                      <w:position w:val="0"/>
                      <w:sz w:val="21"/>
                      <w:szCs w:val="21"/>
                      <w:highlight w:val="none"/>
                      <w:vertAlign w:val="baseline"/>
                      <w:lang w:val="en-US" w:eastAsia="zh-CN" w:bidi="ar-SA"/>
                    </w:rPr>
                    <w:t>（七）</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强化开发区环境风险管理，强化应急响应联动机制，保障城市人居环境安全和生态环境安全。配备应急物资，定期开展应急演习，不断完善环境风险应急预案，防控开发区储运中可能引发的环境风险。</w:t>
                  </w:r>
                </w:p>
              </w:tc>
              <w:tc>
                <w:tcPr>
                  <w:tcW w:w="1775" w:type="pct"/>
                  <w:tcBorders>
                    <w:tl2br w:val="nil"/>
                    <w:tr2bl w:val="nil"/>
                  </w:tcBorders>
                  <w:noWrap w:val="0"/>
                  <w:vAlign w:val="center"/>
                </w:tcPr>
                <w:p w14:paraId="727F7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厂区内应当配备应急物资，定期开展应急演习，不断完善应急预案，给产区工作人员科普应急知识。</w:t>
                  </w:r>
                </w:p>
              </w:tc>
              <w:tc>
                <w:tcPr>
                  <w:tcW w:w="410" w:type="pct"/>
                  <w:tcBorders>
                    <w:tl2br w:val="nil"/>
                    <w:tr2bl w:val="nil"/>
                  </w:tcBorders>
                  <w:noWrap w:val="0"/>
                  <w:vAlign w:val="center"/>
                </w:tcPr>
                <w:p w14:paraId="2A40E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符合</w:t>
                  </w:r>
                </w:p>
              </w:tc>
            </w:tr>
            <w:tr w14:paraId="73363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3" w:type="pct"/>
                  <w:tcBorders>
                    <w:tl2br w:val="nil"/>
                    <w:tr2bl w:val="nil"/>
                  </w:tcBorders>
                  <w:noWrap w:val="0"/>
                  <w:vAlign w:val="center"/>
                </w:tcPr>
                <w:p w14:paraId="368570C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宋体" w:hAnsi="宋体" w:eastAsia="宋体" w:cs="宋体"/>
                      <w:color w:val="auto"/>
                      <w:spacing w:val="0"/>
                      <w:kern w:val="2"/>
                      <w:position w:val="0"/>
                      <w:sz w:val="21"/>
                      <w:szCs w:val="21"/>
                      <w:highlight w:val="none"/>
                      <w:vertAlign w:val="baseline"/>
                      <w:lang w:val="en-US" w:eastAsia="zh-CN" w:bidi="ar-SA"/>
                    </w:rPr>
                    <w:t>（八）</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建立环境影响跟踪评价制度。在规划实施过程中，应每隔5年进行一次环境影响跟踪评价，跟踪规划环评成果落实情况，及时调整总体发展布局和相关的环保对策措施，对开发区实行动态管理，实现可持续发展。在规划修编时应重新编制环境影响报告书。</w:t>
                  </w:r>
                </w:p>
              </w:tc>
              <w:tc>
                <w:tcPr>
                  <w:tcW w:w="1775" w:type="pct"/>
                  <w:tcBorders>
                    <w:tl2br w:val="nil"/>
                    <w:tr2bl w:val="nil"/>
                  </w:tcBorders>
                  <w:noWrap w:val="0"/>
                  <w:vAlign w:val="center"/>
                </w:tcPr>
                <w:p w14:paraId="2762D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s="Times New Roman"/>
                      <w:color w:val="auto"/>
                      <w:spacing w:val="0"/>
                      <w:kern w:val="2"/>
                      <w:position w:val="0"/>
                      <w:sz w:val="21"/>
                      <w:szCs w:val="21"/>
                      <w:highlight w:val="none"/>
                      <w:vertAlign w:val="baseline"/>
                      <w:lang w:val="en-US" w:eastAsia="zh-CN" w:bidi="ar-SA"/>
                    </w:rPr>
                    <w:t>当工业园区规划修编时应重新确认本项目的符合情况</w:t>
                  </w: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w:t>
                  </w:r>
                </w:p>
              </w:tc>
              <w:tc>
                <w:tcPr>
                  <w:tcW w:w="410" w:type="pct"/>
                  <w:tcBorders>
                    <w:tl2br w:val="nil"/>
                    <w:tr2bl w:val="nil"/>
                  </w:tcBorders>
                  <w:noWrap w:val="0"/>
                  <w:vAlign w:val="center"/>
                </w:tcPr>
                <w:p w14:paraId="74492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pacing w:val="0"/>
                      <w:position w:val="0"/>
                      <w:sz w:val="21"/>
                      <w:szCs w:val="21"/>
                      <w:highlight w:val="none"/>
                      <w:vertAlign w:val="baseline"/>
                      <w:lang w:val="en-US" w:eastAsia="zh-CN"/>
                    </w:rPr>
                  </w:pPr>
                  <w:r>
                    <w:rPr>
                      <w:rFonts w:hint="eastAsia"/>
                      <w:color w:val="auto"/>
                      <w:spacing w:val="0"/>
                      <w:position w:val="0"/>
                      <w:sz w:val="21"/>
                      <w:szCs w:val="21"/>
                      <w:highlight w:val="none"/>
                      <w:vertAlign w:val="baseline"/>
                      <w:lang w:val="en-US" w:eastAsia="zh-CN"/>
                    </w:rPr>
                    <w:t>符合</w:t>
                  </w:r>
                </w:p>
              </w:tc>
            </w:tr>
          </w:tbl>
          <w:p w14:paraId="139DCFC3">
            <w:pPr>
              <w:numPr>
                <w:ilvl w:val="0"/>
                <w:numId w:val="0"/>
              </w:numPr>
              <w:rPr>
                <w:rFonts w:hint="default"/>
                <w:spacing w:val="0"/>
                <w:position w:val="0"/>
                <w:sz w:val="21"/>
                <w:szCs w:val="21"/>
                <w:lang w:val="en-US" w:eastAsia="zh-CN"/>
              </w:rPr>
            </w:pPr>
          </w:p>
        </w:tc>
      </w:tr>
      <w:tr w14:paraId="2D1BC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3" w:hRule="atLeast"/>
          <w:jc w:val="center"/>
        </w:trPr>
        <w:tc>
          <w:tcPr>
            <w:tcW w:w="1773" w:type="dxa"/>
            <w:vAlign w:val="center"/>
          </w:tcPr>
          <w:p w14:paraId="22F336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87E6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2E49A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F3310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7B02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3A606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B5BA7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4784EE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BDDE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A399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3BAC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BE4144">
            <w:pPr>
              <w:pStyle w:val="23"/>
              <w:rPr>
                <w:color w:val="auto"/>
                <w:spacing w:val="0"/>
                <w:kern w:val="0"/>
                <w:position w:val="0"/>
                <w:sz w:val="21"/>
                <w:szCs w:val="21"/>
              </w:rPr>
            </w:pPr>
          </w:p>
          <w:p w14:paraId="6F0625E4">
            <w:pPr>
              <w:pStyle w:val="7"/>
              <w:rPr>
                <w:color w:val="auto"/>
                <w:spacing w:val="0"/>
                <w:kern w:val="0"/>
                <w:position w:val="0"/>
                <w:sz w:val="21"/>
                <w:szCs w:val="21"/>
              </w:rPr>
            </w:pPr>
          </w:p>
          <w:p w14:paraId="4314724D">
            <w:pPr>
              <w:rPr>
                <w:color w:val="auto"/>
                <w:spacing w:val="0"/>
                <w:kern w:val="0"/>
                <w:position w:val="0"/>
                <w:sz w:val="21"/>
                <w:szCs w:val="21"/>
              </w:rPr>
            </w:pPr>
          </w:p>
          <w:p w14:paraId="5D64D7FB">
            <w:pPr>
              <w:pStyle w:val="23"/>
              <w:rPr>
                <w:color w:val="auto"/>
                <w:spacing w:val="0"/>
                <w:kern w:val="0"/>
                <w:position w:val="0"/>
                <w:sz w:val="21"/>
                <w:szCs w:val="21"/>
              </w:rPr>
            </w:pPr>
          </w:p>
          <w:p w14:paraId="057B16EB">
            <w:pPr>
              <w:pStyle w:val="7"/>
            </w:pPr>
          </w:p>
          <w:p w14:paraId="64E0BA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61725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28126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9DA8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06CE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3EB59D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6C5C9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3432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5E39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FCC8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E8D4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654C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1EE32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818E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2076A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F7CC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AB4F9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3312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4AA6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7794B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EB35C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EBF7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C00BF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A6F7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44F4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535275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C11DD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B9EEC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B942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261A0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9452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DC30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A7389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43F8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E65A8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D266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527537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E33D2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7F5F60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F46FD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B0237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AA11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E1A5795">
            <w:pPr>
              <w:pStyle w:val="23"/>
              <w:rPr>
                <w:color w:val="auto"/>
                <w:spacing w:val="0"/>
                <w:kern w:val="0"/>
                <w:position w:val="0"/>
                <w:sz w:val="21"/>
                <w:szCs w:val="21"/>
              </w:rPr>
            </w:pPr>
          </w:p>
          <w:p w14:paraId="11C5EE53">
            <w:pPr>
              <w:pStyle w:val="7"/>
              <w:rPr>
                <w:color w:val="auto"/>
                <w:spacing w:val="0"/>
                <w:kern w:val="0"/>
                <w:position w:val="0"/>
                <w:sz w:val="21"/>
                <w:szCs w:val="21"/>
              </w:rPr>
            </w:pPr>
          </w:p>
          <w:p w14:paraId="20C2ECE3">
            <w:pPr>
              <w:rPr>
                <w:color w:val="auto"/>
                <w:spacing w:val="0"/>
                <w:kern w:val="0"/>
                <w:position w:val="0"/>
                <w:sz w:val="21"/>
                <w:szCs w:val="21"/>
              </w:rPr>
            </w:pPr>
          </w:p>
          <w:p w14:paraId="771AE0AB">
            <w:pPr>
              <w:pStyle w:val="23"/>
            </w:pPr>
          </w:p>
          <w:p w14:paraId="1D72E3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6090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C204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E0B9CE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DB6D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40B8B6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4910B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651E9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533B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38F09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922AC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276F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2EBA94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7E735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2FFE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91DF5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3B6D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DE21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628F3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64A88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4457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5640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8859F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65D8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6092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75353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0550B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EF337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7FDF6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1633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6474029">
            <w:pPr>
              <w:autoSpaceDE w:val="0"/>
              <w:autoSpaceDN w:val="0"/>
              <w:adjustRightInd w:val="0"/>
              <w:snapToGrid w:val="0"/>
              <w:ind w:firstLine="0" w:firstLineChars="0"/>
              <w:jc w:val="center"/>
              <w:rPr>
                <w:color w:val="auto"/>
                <w:spacing w:val="0"/>
                <w:kern w:val="0"/>
                <w:position w:val="0"/>
                <w:sz w:val="21"/>
                <w:szCs w:val="21"/>
              </w:rPr>
            </w:pPr>
          </w:p>
          <w:p w14:paraId="4576BEC7">
            <w:pPr>
              <w:autoSpaceDE w:val="0"/>
              <w:autoSpaceDN w:val="0"/>
              <w:adjustRightInd w:val="0"/>
              <w:snapToGrid w:val="0"/>
              <w:ind w:firstLine="0" w:firstLineChars="0"/>
              <w:jc w:val="center"/>
              <w:rPr>
                <w:color w:val="auto"/>
                <w:spacing w:val="0"/>
                <w:kern w:val="0"/>
                <w:position w:val="0"/>
                <w:sz w:val="21"/>
                <w:szCs w:val="21"/>
              </w:rPr>
            </w:pPr>
          </w:p>
          <w:p w14:paraId="63D166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C5CC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C46D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F1E86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C4AD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FB9F1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2F86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3D9C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49C3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5F692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7804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76D8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B3D82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1516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67C1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AF07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D6C18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466D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CE6F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9CA04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4968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19A0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4526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C6D63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8B81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22377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74F9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1A4D28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15B50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F4F8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C35E9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240D8F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C2C71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A811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1C81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77CB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61399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B3B47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1D823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A3310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CF54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D262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2B530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96483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C574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A2C0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80EC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1D21F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71B4C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3AEF1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EC9FB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35D07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A14E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FBB9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2AEF5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BA55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6B642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89FB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11669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6F02C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6CD6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42448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F564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6547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C044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798E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EE9926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0A1310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AD9BD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116C6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82614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E36A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D891B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54F6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63AF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1E6A8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FE376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69A9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FA750C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95FB5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21086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383F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4984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CC02C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7A64E9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75F5C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B7A6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22CE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1F4C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E1F8F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0B97E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B26C41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8515F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4169A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830F5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96A36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1FC82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8AA8E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BE1C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CBB6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CA03C1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7A68E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B77FB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3B59C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80947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E9EC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F6E2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0FB3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D3874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6BEC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83E2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BD9F2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5B8D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B6BC4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50CD0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28FA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85E9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22546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240927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7DF04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527B5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3EF3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19E4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F762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3E66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82266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B780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54E56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89DEB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4AC40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1F34B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73686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7E18B3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FB1C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8441F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E00F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6EC3D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3FC5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D58E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07EF32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1CF02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D545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B4B6F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7316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FE007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FD683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C243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B5190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2C15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FC67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71255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E85C0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6F7C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79290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0E26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B83CB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2D774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D7CB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9539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71BC0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B8C99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F0B54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022DB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740E0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131ECB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13747A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1A27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9E0B5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C8A5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380B58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8F0F8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ACFC6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793CC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3211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237F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2BF2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F5DF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EC9C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551D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A870B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9B1AB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708E3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5583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F3BC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0A342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5B305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E963C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AACDEC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6F1F5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DCF9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BB71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97DB5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EC32CE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AD87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46A62A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2A00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1AA7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891FF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ECD21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D1F20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94F2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5797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C6EFF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E566E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C40F0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16795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79B5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5A776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D5C4B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3EEA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0B66BC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73A0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4CF9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7FB5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9276E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56A6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FA4B7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B1292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51989C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91D62B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2C03C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E5158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E540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CBFDA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D87A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2FF9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1FD40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B0F5E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0B1A1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6141D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9AAF7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1A83E3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A2EAE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7926DE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6DE37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7F2B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A4BEB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F2B39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827E7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A2FA0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8F1C2E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146B7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972D7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5CEA8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C7A2CF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743E1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23C023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25240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743D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DF4EB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59720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04A4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FB35D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A97B7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5ED11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FE92C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A3199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C2118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B09FC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0A52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60E7D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86C5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CB4DA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690A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83A45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3DE8E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46F9E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CBEE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033A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F7F79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8BFC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58630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1D47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2AC15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3D26B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E919A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07098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836BD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A8AA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B42A7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78547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CF5AF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70177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2E16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17ACB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FAF280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40C94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E665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98FEC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DBC2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57FC8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20EC7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0D051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F3A2B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3C6D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04FE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F59F1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47475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D968C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773910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504D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A3581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4EF6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DE44B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050A1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96624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B3EF7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E20A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5F984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F8C23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E1CC6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86F6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98983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D17DEF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A64F9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F1A7F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AF40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6506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5C5DE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83579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0C6D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32744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102A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338AA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60033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7AF6A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0762D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26F3019">
            <w:pPr>
              <w:autoSpaceDE w:val="0"/>
              <w:autoSpaceDN w:val="0"/>
              <w:adjustRightInd w:val="0"/>
              <w:snapToGrid w:val="0"/>
              <w:ind w:firstLine="0" w:firstLineChars="0"/>
              <w:jc w:val="center"/>
              <w:rPr>
                <w:color w:val="auto"/>
                <w:spacing w:val="0"/>
                <w:kern w:val="0"/>
                <w:position w:val="0"/>
                <w:sz w:val="21"/>
                <w:szCs w:val="21"/>
              </w:rPr>
            </w:pPr>
          </w:p>
          <w:p w14:paraId="5116BE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CEA24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CEEB3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6970B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EF02B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5FEB6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1457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A6757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6EE63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89D0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53857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A39DE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C214A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42B92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2F90A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7B0DC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E857E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6CF0A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9C38D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BC41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DB871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其他符合性分析</w:t>
            </w:r>
          </w:p>
          <w:p w14:paraId="18588C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3CAAD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EB565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C50BE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7D907E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7714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67B97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0B8E84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A22FA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64251C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DE0B3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4D91E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C0BA80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40B00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1843B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8323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4F2584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C0F5A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C71E7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96BBF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7E81AF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1D4BC7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1F8C6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6EF1A2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3501A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34DE1B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27162F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7D33A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pacing w:val="0"/>
                <w:kern w:val="0"/>
                <w:position w:val="0"/>
                <w:sz w:val="21"/>
                <w:szCs w:val="21"/>
              </w:rPr>
            </w:pPr>
          </w:p>
          <w:p w14:paraId="550A2D9F">
            <w:pPr>
              <w:pStyle w:val="2"/>
            </w:pPr>
          </w:p>
        </w:tc>
        <w:tc>
          <w:tcPr>
            <w:tcW w:w="7097" w:type="dxa"/>
            <w:gridSpan w:val="3"/>
            <w:vAlign w:val="center"/>
          </w:tcPr>
          <w:p w14:paraId="1309F63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default" w:ascii="Times New Roman" w:hAnsi="Times New Roman" w:eastAsia="宋体" w:cs="Times New Roman"/>
                <w:b/>
                <w:bCs w:val="0"/>
                <w:color w:val="auto"/>
                <w:spacing w:val="0"/>
                <w:position w:val="0"/>
                <w:sz w:val="21"/>
                <w:szCs w:val="21"/>
              </w:rPr>
            </w:pPr>
            <w:r>
              <w:rPr>
                <w:rFonts w:hint="default" w:ascii="Times New Roman" w:hAnsi="Times New Roman" w:eastAsia="宋体" w:cs="Times New Roman"/>
                <w:b/>
                <w:bCs w:val="0"/>
                <w:color w:val="auto"/>
                <w:spacing w:val="0"/>
                <w:position w:val="0"/>
                <w:sz w:val="21"/>
                <w:szCs w:val="21"/>
              </w:rPr>
              <w:t>1选址合理性分析</w:t>
            </w:r>
          </w:p>
          <w:p w14:paraId="0815F764">
            <w:pPr>
              <w:spacing w:line="360" w:lineRule="auto"/>
              <w:ind w:firstLine="420" w:firstLineChars="200"/>
              <w:rPr>
                <w:rFonts w:hint="default" w:ascii="Times New Roman" w:hAnsi="Times New Roman" w:eastAsia="宋体" w:cs="Times New Roman"/>
                <w:color w:val="FF0000"/>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本项目建设地点</w:t>
            </w:r>
            <w:r>
              <w:rPr>
                <w:rFonts w:hint="default" w:ascii="Times New Roman" w:hAnsi="Times New Roman" w:eastAsia="宋体" w:cs="Times New Roman"/>
                <w:color w:val="auto"/>
                <w:spacing w:val="0"/>
                <w:position w:val="0"/>
                <w:sz w:val="21"/>
                <w:szCs w:val="21"/>
              </w:rPr>
              <w:t>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default" w:ascii="Times New Roman" w:hAnsi="Times New Roman" w:eastAsia="宋体" w:cs="Times New Roman"/>
                <w:color w:val="auto"/>
                <w:spacing w:val="0"/>
                <w:kern w:val="0"/>
                <w:position w:val="0"/>
                <w:sz w:val="21"/>
                <w:szCs w:val="21"/>
              </w:rPr>
              <w:t>，</w:t>
            </w:r>
            <w:r>
              <w:rPr>
                <w:rFonts w:hint="eastAsia"/>
                <w:color w:val="auto"/>
                <w:spacing w:val="0"/>
                <w:position w:val="0"/>
                <w:sz w:val="21"/>
                <w:szCs w:val="21"/>
              </w:rPr>
              <w:t>秦丰环保科技有限公司</w:t>
            </w:r>
            <w:r>
              <w:rPr>
                <w:rFonts w:hint="eastAsia"/>
                <w:color w:val="auto"/>
                <w:spacing w:val="0"/>
                <w:position w:val="0"/>
                <w:sz w:val="21"/>
                <w:szCs w:val="21"/>
                <w:lang w:val="en-US" w:eastAsia="zh-CN"/>
              </w:rPr>
              <w:t>于2019年取得胡杨河市人民政府颁发的不动产权证书（新（2019）第七师不动产权第0000062号），属于国有建设用地中的工业用地</w:t>
            </w:r>
            <w:r>
              <w:rPr>
                <w:rFonts w:hint="default" w:ascii="Times New Roman" w:hAnsi="Times New Roman" w:eastAsia="宋体" w:cs="Times New Roman"/>
                <w:color w:val="auto"/>
                <w:spacing w:val="0"/>
                <w:kern w:val="0"/>
                <w:position w:val="0"/>
                <w:sz w:val="21"/>
                <w:szCs w:val="21"/>
              </w:rPr>
              <w:t>，具体见附件</w:t>
            </w:r>
            <w:r>
              <w:rPr>
                <w:rFonts w:hint="eastAsia" w:cs="Times New Roman"/>
                <w:color w:val="auto"/>
                <w:spacing w:val="0"/>
                <w:kern w:val="0"/>
                <w:position w:val="0"/>
                <w:sz w:val="21"/>
                <w:szCs w:val="21"/>
                <w:lang w:val="en-US" w:eastAsia="zh-CN"/>
              </w:rPr>
              <w:t>4</w:t>
            </w:r>
            <w:r>
              <w:rPr>
                <w:rFonts w:hint="eastAsia" w:ascii="Times New Roman" w:hAnsi="Times New Roman" w:eastAsia="宋体" w:cs="Times New Roman"/>
                <w:color w:val="auto"/>
                <w:spacing w:val="0"/>
                <w:kern w:val="0"/>
                <w:position w:val="0"/>
                <w:sz w:val="21"/>
                <w:szCs w:val="21"/>
                <w:lang w:eastAsia="zh-CN"/>
              </w:rPr>
              <w:t>，</w:t>
            </w:r>
            <w:r>
              <w:rPr>
                <w:rFonts w:ascii="Times New Roman" w:hAnsi="Times New Roman" w:eastAsia="宋体" w:cs="Times New Roman"/>
                <w:color w:val="auto"/>
                <w:spacing w:val="0"/>
                <w:position w:val="0"/>
                <w:sz w:val="21"/>
                <w:szCs w:val="21"/>
              </w:rPr>
              <w:t>开发区北工业园区规划以农副产品加工产业为主，建材及机械装备制造业、节能环保及电子仪器制造、建材、物流仓储为辅助产业，</w:t>
            </w:r>
            <w:r>
              <w:rPr>
                <w:color w:val="auto"/>
                <w:spacing w:val="0"/>
                <w:position w:val="0"/>
                <w:sz w:val="21"/>
                <w:szCs w:val="21"/>
              </w:rPr>
              <w:t>本项目</w:t>
            </w:r>
            <w:r>
              <w:rPr>
                <w:rFonts w:hint="eastAsia"/>
                <w:color w:val="auto"/>
                <w:spacing w:val="0"/>
                <w:position w:val="0"/>
                <w:sz w:val="21"/>
                <w:szCs w:val="21"/>
                <w:lang w:val="en-US" w:eastAsia="zh-CN"/>
              </w:rPr>
              <w:t>为塑料管件制</w:t>
            </w:r>
            <w:r>
              <w:rPr>
                <w:rFonts w:hint="eastAsia"/>
                <w:color w:val="auto"/>
                <w:spacing w:val="0"/>
                <w:position w:val="0"/>
                <w:sz w:val="21"/>
                <w:szCs w:val="21"/>
              </w:rPr>
              <w:t>造</w:t>
            </w:r>
            <w:r>
              <w:rPr>
                <w:rFonts w:hint="eastAsia"/>
                <w:color w:val="auto"/>
                <w:spacing w:val="0"/>
                <w:position w:val="0"/>
                <w:sz w:val="21"/>
                <w:szCs w:val="21"/>
                <w:lang w:val="en-US" w:eastAsia="zh-CN"/>
              </w:rPr>
              <w:t>项目</w:t>
            </w:r>
            <w:r>
              <w:rPr>
                <w:color w:val="auto"/>
                <w:spacing w:val="0"/>
                <w:position w:val="0"/>
                <w:sz w:val="21"/>
                <w:szCs w:val="21"/>
              </w:rPr>
              <w:t>，</w:t>
            </w:r>
            <w:r>
              <w:rPr>
                <w:rFonts w:hint="eastAsia"/>
                <w:color w:val="auto"/>
                <w:spacing w:val="0"/>
                <w:position w:val="0"/>
                <w:sz w:val="21"/>
                <w:szCs w:val="21"/>
                <w:lang w:val="en-US" w:eastAsia="zh-CN"/>
              </w:rPr>
              <w:t>属于建材制品制造，</w:t>
            </w:r>
            <w:r>
              <w:rPr>
                <w:color w:val="auto"/>
                <w:spacing w:val="0"/>
                <w:position w:val="0"/>
                <w:sz w:val="21"/>
                <w:szCs w:val="21"/>
              </w:rPr>
              <w:t>用地属性为二类工业用地，属于整顿后的主导产业之一，符合</w:t>
            </w:r>
            <w:r>
              <w:rPr>
                <w:rFonts w:hint="eastAsia"/>
                <w:color w:val="auto"/>
                <w:spacing w:val="0"/>
                <w:kern w:val="0"/>
                <w:position w:val="0"/>
                <w:sz w:val="21"/>
                <w:szCs w:val="21"/>
                <w:lang w:val="en-US" w:eastAsia="zh-CN"/>
              </w:rPr>
              <w:t>工业园区</w:t>
            </w:r>
            <w:r>
              <w:rPr>
                <w:color w:val="auto"/>
                <w:spacing w:val="0"/>
                <w:position w:val="0"/>
                <w:sz w:val="21"/>
                <w:szCs w:val="21"/>
              </w:rPr>
              <w:t>产业定位及用地规划要求</w:t>
            </w:r>
            <w:r>
              <w:rPr>
                <w:rFonts w:hint="default" w:ascii="Times New Roman" w:hAnsi="Times New Roman" w:eastAsia="宋体" w:cs="Times New Roman"/>
                <w:color w:val="auto"/>
                <w:spacing w:val="0"/>
                <w:kern w:val="0"/>
                <w:position w:val="0"/>
                <w:sz w:val="21"/>
                <w:szCs w:val="21"/>
              </w:rPr>
              <w:t>。项目区北侧和</w:t>
            </w:r>
            <w:r>
              <w:rPr>
                <w:rFonts w:hint="eastAsia" w:cs="Times New Roman"/>
                <w:color w:val="auto"/>
                <w:spacing w:val="0"/>
                <w:kern w:val="0"/>
                <w:position w:val="0"/>
                <w:sz w:val="21"/>
                <w:szCs w:val="21"/>
                <w:lang w:val="en-US" w:eastAsia="zh-CN"/>
              </w:rPr>
              <w:t>东</w:t>
            </w:r>
            <w:r>
              <w:rPr>
                <w:rFonts w:hint="default" w:ascii="Times New Roman" w:hAnsi="Times New Roman" w:eastAsia="宋体" w:cs="Times New Roman"/>
                <w:color w:val="auto"/>
                <w:spacing w:val="0"/>
                <w:kern w:val="0"/>
                <w:position w:val="0"/>
                <w:sz w:val="21"/>
                <w:szCs w:val="21"/>
              </w:rPr>
              <w:t>侧均为空地，</w:t>
            </w:r>
            <w:r>
              <w:rPr>
                <w:rFonts w:hint="eastAsia" w:cs="Times New Roman"/>
                <w:color w:val="auto"/>
                <w:spacing w:val="0"/>
                <w:kern w:val="0"/>
                <w:position w:val="0"/>
                <w:sz w:val="21"/>
                <w:szCs w:val="21"/>
                <w:lang w:val="en-US" w:eastAsia="zh-CN"/>
              </w:rPr>
              <w:t>西</w:t>
            </w:r>
            <w:r>
              <w:rPr>
                <w:rFonts w:hint="default" w:ascii="Times New Roman" w:hAnsi="Times New Roman" w:eastAsia="宋体" w:cs="Times New Roman"/>
                <w:color w:val="auto"/>
                <w:spacing w:val="0"/>
                <w:kern w:val="0"/>
                <w:position w:val="0"/>
                <w:sz w:val="21"/>
                <w:szCs w:val="21"/>
              </w:rPr>
              <w:t>侧为固彩商贸有限公司</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lang w:val="en-US" w:eastAsia="zh-CN"/>
              </w:rPr>
              <w:t>南侧为鸿融钢</w:t>
            </w:r>
            <w:r>
              <w:rPr>
                <w:rFonts w:hint="eastAsia" w:cs="Times New Roman"/>
                <w:color w:val="auto"/>
                <w:spacing w:val="0"/>
                <w:kern w:val="0"/>
                <w:position w:val="0"/>
                <w:sz w:val="21"/>
                <w:szCs w:val="21"/>
                <w:lang w:val="en-US" w:eastAsia="zh-CN"/>
              </w:rPr>
              <w:t>构</w:t>
            </w:r>
            <w:r>
              <w:rPr>
                <w:rFonts w:hint="eastAsia" w:ascii="Times New Roman" w:hAnsi="Times New Roman" w:eastAsia="宋体" w:cs="Times New Roman"/>
                <w:color w:val="auto"/>
                <w:spacing w:val="0"/>
                <w:kern w:val="0"/>
                <w:position w:val="0"/>
                <w:sz w:val="21"/>
                <w:szCs w:val="21"/>
                <w:lang w:val="en-US" w:eastAsia="zh-CN"/>
              </w:rPr>
              <w:t>有限公司</w:t>
            </w:r>
            <w:r>
              <w:rPr>
                <w:rFonts w:hint="default" w:ascii="Times New Roman" w:hAnsi="Times New Roman" w:eastAsia="宋体" w:cs="Times New Roman"/>
                <w:color w:val="auto"/>
                <w:spacing w:val="0"/>
                <w:kern w:val="0"/>
                <w:position w:val="0"/>
                <w:sz w:val="21"/>
                <w:szCs w:val="21"/>
              </w:rPr>
              <w:t>，不占用基本农田，项目四周无环境敏感制约因素。</w:t>
            </w:r>
          </w:p>
          <w:p w14:paraId="439DF1EF">
            <w:pPr>
              <w:spacing w:line="360" w:lineRule="auto"/>
              <w:ind w:firstLine="420" w:firstLineChars="200"/>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项目区供水、供电、道路等基础设施已基本完善，用水由园区供水管网提供，用电由园区国家电网统一供给，生活污水经防渗化粪池处理后，直接排入园区下水管网，最终进入</w:t>
            </w:r>
            <w:r>
              <w:rPr>
                <w:rFonts w:hint="eastAsia" w:ascii="Times New Roman" w:hAnsi="Times New Roman" w:eastAsia="宋体" w:cs="Times New Roman"/>
                <w:color w:val="auto"/>
                <w:spacing w:val="0"/>
                <w:position w:val="0"/>
                <w:sz w:val="21"/>
                <w:szCs w:val="21"/>
              </w:rPr>
              <w:t>天北经开区</w:t>
            </w:r>
            <w:r>
              <w:rPr>
                <w:rFonts w:hint="eastAsia"/>
                <w:color w:val="auto"/>
                <w:spacing w:val="0"/>
                <w:position w:val="0"/>
                <w:sz w:val="21"/>
                <w:szCs w:val="21"/>
                <w:highlight w:val="none"/>
                <w:vertAlign w:val="baseline"/>
                <w:lang w:val="en-US" w:eastAsia="zh-CN"/>
              </w:rPr>
              <w:t>污水处理厂</w:t>
            </w:r>
            <w:r>
              <w:rPr>
                <w:rFonts w:hint="default" w:ascii="Times New Roman" w:hAnsi="Times New Roman" w:eastAsia="宋体" w:cs="Times New Roman"/>
                <w:color w:val="auto"/>
                <w:spacing w:val="0"/>
                <w:kern w:val="0"/>
                <w:position w:val="0"/>
                <w:sz w:val="21"/>
                <w:szCs w:val="21"/>
              </w:rPr>
              <w:t>进行集中处理，为项目的建设提供了较好的基础条件。</w:t>
            </w:r>
          </w:p>
          <w:p w14:paraId="71759725">
            <w:pPr>
              <w:spacing w:line="360" w:lineRule="auto"/>
              <w:ind w:firstLine="420" w:firstLineChars="200"/>
              <w:rPr>
                <w:rFonts w:hint="eastAsia"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rPr>
              <w:t>周围无风景名胜区、自然保护区等环境敏感区，且未占用耕地、林地、草场等经济利用价值较高的土地，对生态环境影响较小</w:t>
            </w:r>
            <w:r>
              <w:rPr>
                <w:rFonts w:hint="eastAsia" w:cs="Times New Roman"/>
                <w:color w:val="auto"/>
                <w:spacing w:val="0"/>
                <w:kern w:val="0"/>
                <w:position w:val="0"/>
                <w:sz w:val="21"/>
                <w:szCs w:val="21"/>
                <w:lang w:eastAsia="zh-CN"/>
              </w:rPr>
              <w:t>。</w:t>
            </w:r>
          </w:p>
          <w:p w14:paraId="1DBCEFB0">
            <w:pPr>
              <w:spacing w:line="360" w:lineRule="auto"/>
              <w:ind w:firstLine="420" w:firstLineChars="200"/>
              <w:rPr>
                <w:rFonts w:hint="eastAsia"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rPr>
              <w:t>项目区周围道路修建完善，所在地交通便利，运输条件良好</w:t>
            </w:r>
            <w:r>
              <w:rPr>
                <w:rFonts w:hint="eastAsia" w:cs="Times New Roman"/>
                <w:color w:val="auto"/>
                <w:spacing w:val="0"/>
                <w:kern w:val="0"/>
                <w:position w:val="0"/>
                <w:sz w:val="21"/>
                <w:szCs w:val="21"/>
                <w:lang w:eastAsia="zh-CN"/>
              </w:rPr>
              <w:t>。</w:t>
            </w:r>
          </w:p>
          <w:p w14:paraId="051E3117">
            <w:pPr>
              <w:spacing w:line="360" w:lineRule="auto"/>
              <w:ind w:firstLine="420" w:firstLineChars="200"/>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本项目污染物种类及产生量较少，</w:t>
            </w:r>
            <w:r>
              <w:rPr>
                <w:rFonts w:hint="eastAsia" w:cs="Times New Roman"/>
                <w:color w:val="auto"/>
                <w:spacing w:val="0"/>
                <w:kern w:val="0"/>
                <w:position w:val="0"/>
                <w:sz w:val="21"/>
                <w:szCs w:val="21"/>
                <w:lang w:val="en-US" w:eastAsia="zh-CN"/>
              </w:rPr>
              <w:t>本环评已提出布袋除尘器、活性炭吸附脱附+催化燃烧器的环保措施</w:t>
            </w:r>
            <w:r>
              <w:rPr>
                <w:rFonts w:hint="eastAsia" w:cs="Times New Roman"/>
                <w:color w:val="auto"/>
                <w:spacing w:val="0"/>
                <w:kern w:val="0"/>
                <w:position w:val="0"/>
                <w:sz w:val="21"/>
                <w:szCs w:val="21"/>
                <w:lang w:eastAsia="zh-CN"/>
              </w:rPr>
              <w:t>，</w:t>
            </w:r>
            <w:r>
              <w:rPr>
                <w:rFonts w:hint="eastAsia" w:cs="Times New Roman"/>
                <w:color w:val="auto"/>
                <w:spacing w:val="0"/>
                <w:kern w:val="0"/>
                <w:position w:val="0"/>
                <w:sz w:val="21"/>
                <w:szCs w:val="21"/>
                <w:lang w:val="en-US" w:eastAsia="zh-CN"/>
              </w:rPr>
              <w:t>污染物经过处理后</w:t>
            </w:r>
            <w:r>
              <w:rPr>
                <w:rFonts w:hint="default" w:ascii="Times New Roman" w:hAnsi="Times New Roman" w:eastAsia="宋体" w:cs="Times New Roman"/>
                <w:color w:val="auto"/>
                <w:spacing w:val="0"/>
                <w:kern w:val="0"/>
                <w:position w:val="0"/>
                <w:sz w:val="21"/>
                <w:szCs w:val="21"/>
              </w:rPr>
              <w:t>能实现达标排放，不会对周围环境造成大的不利影响，且项目区周围无大的工业污染源，也不会对本项目的环境要求有影响。</w:t>
            </w:r>
          </w:p>
          <w:p w14:paraId="0C81B3CC">
            <w:pPr>
              <w:spacing w:line="360" w:lineRule="auto"/>
              <w:ind w:firstLine="420" w:firstLineChars="200"/>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综上所述，从环保角度讲，本项目选址合理可行。</w:t>
            </w:r>
          </w:p>
          <w:p w14:paraId="0612B8E5">
            <w:pPr>
              <w:keepNext/>
              <w:keepLines w:val="0"/>
              <w:pageBreakBefore w:val="0"/>
              <w:widowControl w:val="0"/>
              <w:kinsoku/>
              <w:wordWrap/>
              <w:overflowPunct w:val="0"/>
              <w:topLinePunct w:val="0"/>
              <w:autoSpaceDE/>
              <w:autoSpaceDN/>
              <w:bidi w:val="0"/>
              <w:adjustRightInd/>
              <w:snapToGrid w:val="0"/>
              <w:spacing w:line="360" w:lineRule="auto"/>
              <w:ind w:firstLine="0" w:firstLineChars="0"/>
              <w:textAlignment w:val="auto"/>
              <w:outlineLvl w:val="0"/>
              <w:rPr>
                <w:b/>
                <w:bCs/>
                <w:color w:val="auto"/>
                <w:spacing w:val="0"/>
                <w:kern w:val="44"/>
                <w:position w:val="0"/>
                <w:sz w:val="21"/>
                <w:szCs w:val="21"/>
              </w:rPr>
            </w:pPr>
            <w:r>
              <w:rPr>
                <w:rFonts w:hint="eastAsia"/>
                <w:b/>
                <w:bCs/>
                <w:color w:val="auto"/>
                <w:spacing w:val="0"/>
                <w:kern w:val="44"/>
                <w:position w:val="0"/>
                <w:sz w:val="21"/>
                <w:szCs w:val="21"/>
                <w:lang w:val="en-US" w:eastAsia="zh-CN"/>
              </w:rPr>
              <w:t>2</w:t>
            </w:r>
            <w:r>
              <w:rPr>
                <w:b/>
                <w:bCs/>
                <w:color w:val="auto"/>
                <w:spacing w:val="0"/>
                <w:kern w:val="44"/>
                <w:position w:val="0"/>
                <w:sz w:val="21"/>
                <w:szCs w:val="21"/>
              </w:rPr>
              <w:t>与国家产业政策符合性分析</w:t>
            </w:r>
          </w:p>
          <w:p w14:paraId="42E91D6D">
            <w:pPr>
              <w:autoSpaceDE w:val="0"/>
              <w:autoSpaceDN w:val="0"/>
              <w:spacing w:line="360" w:lineRule="auto"/>
              <w:ind w:firstLine="420" w:firstLineChars="200"/>
              <w:rPr>
                <w:rFonts w:hint="default" w:ascii="Times New Roman" w:hAnsi="Times New Roman" w:eastAsia="宋体" w:cs="Times New Roman"/>
                <w:color w:val="auto"/>
                <w:spacing w:val="0"/>
                <w:position w:val="0"/>
                <w:sz w:val="21"/>
                <w:szCs w:val="21"/>
              </w:rPr>
            </w:pPr>
            <w:r>
              <w:rPr>
                <w:color w:val="auto"/>
                <w:spacing w:val="0"/>
                <w:position w:val="0"/>
                <w:sz w:val="21"/>
                <w:szCs w:val="21"/>
              </w:rPr>
              <w:t>对照《产业结构调整指导目录（2024年本）》，</w:t>
            </w:r>
            <w:r>
              <w:rPr>
                <w:rFonts w:hint="eastAsia"/>
                <w:color w:val="auto"/>
                <w:spacing w:val="0"/>
                <w:position w:val="0"/>
                <w:sz w:val="21"/>
                <w:szCs w:val="21"/>
              </w:rPr>
              <w:t>本项目不属于</w:t>
            </w:r>
            <w:r>
              <w:rPr>
                <w:color w:val="auto"/>
                <w:spacing w:val="0"/>
                <w:position w:val="0"/>
                <w:sz w:val="21"/>
                <w:szCs w:val="21"/>
              </w:rPr>
              <w:t>鼓励类</w:t>
            </w:r>
            <w:r>
              <w:rPr>
                <w:rFonts w:hint="eastAsia"/>
                <w:color w:val="auto"/>
                <w:spacing w:val="0"/>
                <w:position w:val="0"/>
                <w:sz w:val="21"/>
                <w:szCs w:val="21"/>
              </w:rPr>
              <w:t>、限制类和淘汰类项目，</w:t>
            </w:r>
            <w:r>
              <w:rPr>
                <w:rFonts w:hint="eastAsia" w:cs="Times New Roman"/>
                <w:color w:val="auto"/>
                <w:spacing w:val="0"/>
                <w:position w:val="0"/>
                <w:sz w:val="21"/>
                <w:szCs w:val="21"/>
                <w:lang w:val="en-US" w:eastAsia="zh-CN"/>
              </w:rPr>
              <w:t>视</w:t>
            </w:r>
            <w:r>
              <w:rPr>
                <w:rFonts w:hint="default" w:ascii="Times New Roman" w:hAnsi="Times New Roman" w:eastAsia="宋体" w:cs="Times New Roman"/>
                <w:color w:val="auto"/>
                <w:spacing w:val="0"/>
                <w:position w:val="0"/>
                <w:sz w:val="21"/>
                <w:szCs w:val="21"/>
              </w:rPr>
              <w:t>为允许类。因此，本项目符合国家的产业政策。</w:t>
            </w:r>
          </w:p>
          <w:p w14:paraId="4D66FAC4">
            <w:pPr>
              <w:keepLines w:val="0"/>
              <w:pageBreakBefore w:val="0"/>
              <w:widowControl/>
              <w:kinsoku/>
              <w:wordWrap/>
              <w:topLinePunct w:val="0"/>
              <w:bidi w:val="0"/>
              <w:spacing w:line="360" w:lineRule="auto"/>
              <w:ind w:firstLine="560"/>
              <w:jc w:val="left"/>
              <w:textAlignment w:val="auto"/>
              <w:rPr>
                <w:rFonts w:hint="eastAsia" w:ascii="Times New Roman" w:hAnsi="Times New Roman" w:eastAsia="宋体" w:cs="Times New Roman"/>
                <w:color w:val="FF0000"/>
                <w:spacing w:val="0"/>
                <w:position w:val="0"/>
                <w:sz w:val="21"/>
                <w:szCs w:val="21"/>
                <w:lang w:val="en-US" w:eastAsia="zh-CN"/>
              </w:rPr>
            </w:pPr>
            <w:r>
              <w:rPr>
                <w:rFonts w:hint="eastAsia"/>
                <w:color w:val="auto"/>
                <w:spacing w:val="0"/>
                <w:position w:val="0"/>
                <w:sz w:val="21"/>
                <w:szCs w:val="21"/>
                <w:lang w:val="en-US" w:eastAsia="zh-CN"/>
              </w:rPr>
              <w:t>同时，本项目于2024年12月27日取得天北经济技术开发区管理委员会经济发展局</w:t>
            </w:r>
            <w:r>
              <w:rPr>
                <w:rFonts w:hint="default" w:ascii="Times New Roman" w:hAnsi="Times New Roman" w:eastAsia="宋体" w:cs="Times New Roman"/>
                <w:color w:val="auto"/>
                <w:spacing w:val="0"/>
                <w:position w:val="0"/>
                <w:sz w:val="21"/>
                <w:szCs w:val="21"/>
                <w:lang w:val="en-US" w:eastAsia="zh-CN"/>
              </w:rPr>
              <w:t>出具的</w:t>
            </w:r>
            <w:r>
              <w:rPr>
                <w:rFonts w:hint="eastAsia" w:ascii="Times New Roman" w:hAnsi="Times New Roman" w:eastAsia="宋体" w:cs="Times New Roman"/>
                <w:color w:val="auto"/>
                <w:spacing w:val="0"/>
                <w:position w:val="0"/>
                <w:sz w:val="21"/>
                <w:szCs w:val="21"/>
                <w:lang w:val="en-US" w:eastAsia="zh-CN"/>
              </w:rPr>
              <w:t>《新疆生产建设兵团投资项目备案证》（天北经开区（其他）备〔2024）83号）（见附件</w:t>
            </w:r>
            <w:r>
              <w:rPr>
                <w:rFonts w:hint="eastAsia" w:cs="Times New Roman"/>
                <w:color w:val="auto"/>
                <w:spacing w:val="0"/>
                <w:position w:val="0"/>
                <w:sz w:val="21"/>
                <w:szCs w:val="21"/>
                <w:lang w:val="en-US" w:eastAsia="zh-CN"/>
              </w:rPr>
              <w:t>5</w:t>
            </w:r>
            <w:r>
              <w:rPr>
                <w:rFonts w:hint="eastAsia" w:ascii="Times New Roman" w:hAnsi="Times New Roman" w:eastAsia="宋体" w:cs="Times New Roman"/>
                <w:color w:val="auto"/>
                <w:spacing w:val="0"/>
                <w:position w:val="0"/>
                <w:sz w:val="21"/>
                <w:szCs w:val="21"/>
                <w:lang w:val="en-US" w:eastAsia="zh-CN"/>
              </w:rPr>
              <w:t>）</w:t>
            </w:r>
          </w:p>
          <w:p w14:paraId="2ECE8919">
            <w:pPr>
              <w:spacing w:line="360" w:lineRule="auto"/>
              <w:ind w:firstLine="420" w:firstLineChars="200"/>
              <w:jc w:val="left"/>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综上所述，本项目的建设符合国家</w:t>
            </w:r>
            <w:r>
              <w:rPr>
                <w:rFonts w:hint="eastAsia" w:ascii="Times New Roman" w:hAnsi="Times New Roman" w:eastAsia="宋体" w:cs="Times New Roman"/>
                <w:color w:val="auto"/>
                <w:spacing w:val="0"/>
                <w:position w:val="0"/>
                <w:sz w:val="21"/>
                <w:szCs w:val="21"/>
                <w:lang w:val="en-US" w:eastAsia="zh-CN"/>
              </w:rPr>
              <w:t>及地方的</w:t>
            </w:r>
            <w:r>
              <w:rPr>
                <w:rFonts w:hint="default" w:ascii="Times New Roman" w:hAnsi="Times New Roman" w:eastAsia="宋体" w:cs="Times New Roman"/>
                <w:color w:val="auto"/>
                <w:spacing w:val="0"/>
                <w:position w:val="0"/>
                <w:sz w:val="21"/>
                <w:szCs w:val="21"/>
              </w:rPr>
              <w:t>产业政策。</w:t>
            </w:r>
          </w:p>
          <w:p w14:paraId="152EB97E">
            <w:pPr>
              <w:keepNext w:val="0"/>
              <w:keepLines w:val="0"/>
              <w:pageBreakBefore w:val="0"/>
              <w:kinsoku/>
              <w:wordWrap/>
              <w:overflowPunct/>
              <w:topLinePunct w:val="0"/>
              <w:bidi w:val="0"/>
              <w:spacing w:line="360" w:lineRule="auto"/>
              <w:ind w:left="0" w:leftChars="0" w:firstLine="0" w:firstLineChars="0"/>
              <w:jc w:val="left"/>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与</w:t>
            </w:r>
            <w:r>
              <w:rPr>
                <w:rFonts w:hint="eastAsia" w:ascii="Times New Roman" w:hAnsi="Times New Roman" w:eastAsia="宋体" w:cs="Times New Roman"/>
                <w:b/>
                <w:bCs w:val="0"/>
                <w:color w:val="auto"/>
                <w:sz w:val="21"/>
                <w:szCs w:val="21"/>
                <w:highlight w:val="none"/>
                <w:lang w:eastAsia="zh-CN"/>
              </w:rPr>
              <w:t>“</w:t>
            </w:r>
            <w:r>
              <w:rPr>
                <w:rFonts w:hint="default" w:ascii="Times New Roman" w:hAnsi="Times New Roman" w:eastAsia="宋体" w:cs="Times New Roman"/>
                <w:b/>
                <w:bCs w:val="0"/>
                <w:color w:val="auto"/>
                <w:sz w:val="21"/>
                <w:szCs w:val="21"/>
                <w:highlight w:val="none"/>
              </w:rPr>
              <w:t>三线一单</w:t>
            </w:r>
            <w:r>
              <w:rPr>
                <w:rFonts w:hint="eastAsia" w:ascii="Times New Roman" w:hAnsi="Times New Roman" w:eastAsia="宋体" w:cs="Times New Roman"/>
                <w:b/>
                <w:bCs w:val="0"/>
                <w:color w:val="auto"/>
                <w:sz w:val="21"/>
                <w:szCs w:val="21"/>
                <w:highlight w:val="none"/>
                <w:lang w:eastAsia="zh-CN"/>
              </w:rPr>
              <w:t>”</w:t>
            </w:r>
            <w:r>
              <w:rPr>
                <w:rFonts w:hint="default" w:ascii="Times New Roman" w:hAnsi="Times New Roman" w:eastAsia="宋体" w:cs="Times New Roman"/>
                <w:b/>
                <w:bCs w:val="0"/>
                <w:color w:val="auto"/>
                <w:sz w:val="21"/>
                <w:szCs w:val="21"/>
                <w:highlight w:val="none"/>
              </w:rPr>
              <w:t>符合性分析</w:t>
            </w:r>
          </w:p>
          <w:p w14:paraId="4D0415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jc w:val="both"/>
              <w:textAlignment w:val="auto"/>
              <w:rPr>
                <w:rFonts w:hint="default" w:ascii="Times New Roman" w:hAnsi="Times New Roman" w:eastAsia="宋体" w:cs="Times New Roman"/>
                <w:color w:val="auto"/>
                <w:spacing w:val="0"/>
                <w:w w:val="100"/>
                <w:kern w:val="2"/>
                <w:position w:val="0"/>
                <w:sz w:val="21"/>
                <w:szCs w:val="21"/>
                <w:highlight w:val="none"/>
                <w:lang w:val="en-US" w:eastAsia="zh-CN" w:bidi="ar-SA"/>
              </w:rPr>
            </w:pPr>
            <w:r>
              <w:rPr>
                <w:rFonts w:hint="default" w:ascii="Times New Roman" w:hAnsi="Times New Roman" w:eastAsia="宋体" w:cs="Times New Roman"/>
                <w:color w:val="auto"/>
                <w:spacing w:val="0"/>
                <w:w w:val="100"/>
                <w:kern w:val="2"/>
                <w:position w:val="0"/>
                <w:sz w:val="21"/>
                <w:szCs w:val="21"/>
                <w:highlight w:val="none"/>
                <w:lang w:val="en-US" w:eastAsia="zh-CN" w:bidi="ar-SA"/>
              </w:rPr>
              <w:t>根据《新疆</w:t>
            </w:r>
            <w:r>
              <w:rPr>
                <w:rFonts w:hint="eastAsia" w:ascii="Times New Roman" w:hAnsi="Times New Roman" w:eastAsia="宋体" w:cs="Times New Roman"/>
                <w:color w:val="auto"/>
                <w:spacing w:val="0"/>
                <w:w w:val="100"/>
                <w:kern w:val="2"/>
                <w:position w:val="0"/>
                <w:sz w:val="21"/>
                <w:szCs w:val="21"/>
                <w:highlight w:val="none"/>
                <w:lang w:val="en-US" w:eastAsia="zh-CN" w:bidi="ar-SA"/>
              </w:rPr>
              <w:t>生产建设兵团</w:t>
            </w:r>
            <w:r>
              <w:rPr>
                <w:rFonts w:hint="default" w:ascii="Times New Roman" w:hAnsi="Times New Roman" w:eastAsia="宋体" w:cs="Times New Roman"/>
                <w:color w:val="auto"/>
                <w:spacing w:val="0"/>
                <w:w w:val="100"/>
                <w:kern w:val="2"/>
                <w:position w:val="0"/>
                <w:sz w:val="21"/>
                <w:szCs w:val="21"/>
                <w:highlight w:val="none"/>
                <w:lang w:val="en-US" w:eastAsia="zh-CN" w:bidi="ar-SA"/>
              </w:rPr>
              <w:t>“三线一单”生态环境分区管控方案》的通知（</w:t>
            </w:r>
            <w:r>
              <w:rPr>
                <w:rFonts w:hint="default" w:ascii="Times New Roman" w:hAnsi="Times New Roman" w:eastAsia="宋体" w:cs="Times New Roman"/>
                <w:color w:val="auto"/>
                <w:spacing w:val="0"/>
                <w:position w:val="0"/>
                <w:sz w:val="21"/>
                <w:szCs w:val="21"/>
                <w:highlight w:val="none"/>
              </w:rPr>
              <w:t>新</w:t>
            </w:r>
            <w:r>
              <w:rPr>
                <w:rFonts w:hint="default" w:ascii="Times New Roman" w:hAnsi="Times New Roman" w:eastAsia="宋体" w:cs="Times New Roman"/>
                <w:color w:val="auto"/>
                <w:spacing w:val="0"/>
                <w:position w:val="0"/>
                <w:sz w:val="21"/>
                <w:szCs w:val="21"/>
                <w:highlight w:val="none"/>
                <w:lang w:val="en-US" w:eastAsia="zh-CN"/>
              </w:rPr>
              <w:t>兵</w:t>
            </w:r>
            <w:r>
              <w:rPr>
                <w:rFonts w:hint="default" w:ascii="Times New Roman" w:hAnsi="Times New Roman" w:eastAsia="宋体" w:cs="Times New Roman"/>
                <w:color w:val="auto"/>
                <w:spacing w:val="0"/>
                <w:position w:val="0"/>
                <w:sz w:val="21"/>
                <w:szCs w:val="21"/>
                <w:highlight w:val="none"/>
              </w:rPr>
              <w:t>发</w:t>
            </w:r>
            <w:r>
              <w:rPr>
                <w:rFonts w:hint="default"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lang w:val="en-US" w:eastAsia="zh-CN"/>
              </w:rPr>
              <w:t>2021</w:t>
            </w:r>
            <w:r>
              <w:rPr>
                <w:rFonts w:hint="default"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1</w:t>
            </w:r>
            <w:r>
              <w:rPr>
                <w:rFonts w:hint="default" w:ascii="Times New Roman" w:hAnsi="Times New Roman" w:eastAsia="宋体" w:cs="Times New Roman"/>
                <w:color w:val="auto"/>
                <w:spacing w:val="0"/>
                <w:position w:val="0"/>
                <w:sz w:val="21"/>
                <w:szCs w:val="21"/>
                <w:highlight w:val="none"/>
                <w:lang w:val="en-US" w:eastAsia="zh-CN"/>
              </w:rPr>
              <w:t>6</w:t>
            </w:r>
            <w:r>
              <w:rPr>
                <w:rFonts w:hint="default" w:ascii="Times New Roman" w:hAnsi="Times New Roman" w:eastAsia="宋体" w:cs="Times New Roman"/>
                <w:color w:val="auto"/>
                <w:spacing w:val="0"/>
                <w:position w:val="0"/>
                <w:sz w:val="21"/>
                <w:szCs w:val="21"/>
                <w:highlight w:val="none"/>
              </w:rPr>
              <w:t>号</w:t>
            </w:r>
            <w:r>
              <w:rPr>
                <w:rFonts w:hint="default" w:ascii="Times New Roman" w:hAnsi="Times New Roman" w:eastAsia="宋体" w:cs="Times New Roman"/>
                <w:color w:val="auto"/>
                <w:spacing w:val="0"/>
                <w:w w:val="100"/>
                <w:kern w:val="2"/>
                <w:position w:val="0"/>
                <w:sz w:val="21"/>
                <w:szCs w:val="21"/>
                <w:highlight w:val="none"/>
                <w:lang w:val="en-US" w:eastAsia="zh-CN" w:bidi="ar-SA"/>
              </w:rPr>
              <w:t>）中提出的分区管控方案，本项目与该方案符合性分析，见表1-</w:t>
            </w:r>
            <w:r>
              <w:rPr>
                <w:rFonts w:hint="eastAsia" w:ascii="Times New Roman" w:hAnsi="Times New Roman" w:eastAsia="宋体" w:cs="Times New Roman"/>
                <w:color w:val="auto"/>
                <w:spacing w:val="0"/>
                <w:w w:val="100"/>
                <w:kern w:val="2"/>
                <w:position w:val="0"/>
                <w:sz w:val="21"/>
                <w:szCs w:val="21"/>
                <w:highlight w:val="none"/>
                <w:lang w:val="en-US" w:eastAsia="zh-CN" w:bidi="ar-SA"/>
              </w:rPr>
              <w:t>2</w:t>
            </w:r>
            <w:r>
              <w:rPr>
                <w:rFonts w:hint="default" w:ascii="Times New Roman" w:hAnsi="Times New Roman" w:eastAsia="宋体" w:cs="Times New Roman"/>
                <w:color w:val="auto"/>
                <w:spacing w:val="0"/>
                <w:w w:val="100"/>
                <w:kern w:val="2"/>
                <w:position w:val="0"/>
                <w:sz w:val="21"/>
                <w:szCs w:val="21"/>
                <w:highlight w:val="none"/>
                <w:lang w:val="en-US" w:eastAsia="zh-CN" w:bidi="ar-SA"/>
              </w:rPr>
              <w:t>。</w:t>
            </w:r>
          </w:p>
          <w:p w14:paraId="3DEBD589">
            <w:pPr>
              <w:keepNext w:val="0"/>
              <w:keepLines w:val="0"/>
              <w:pageBreakBefore w:val="0"/>
              <w:widowControl w:val="0"/>
              <w:kinsoku/>
              <w:wordWrap/>
              <w:topLinePunct w:val="0"/>
              <w:bidi w:val="0"/>
              <w:snapToGrid w:val="0"/>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表1-</w:t>
            </w:r>
            <w:r>
              <w:rPr>
                <w:rFonts w:hint="eastAsia" w:ascii="Times New Roman" w:hAnsi="Times New Roman" w:eastAsia="宋体" w:cs="Times New Roman"/>
                <w:b/>
                <w:bCs/>
                <w:color w:val="auto"/>
                <w:spacing w:val="0"/>
                <w:position w:val="0"/>
                <w:sz w:val="21"/>
                <w:szCs w:val="21"/>
                <w:highlight w:val="none"/>
                <w:lang w:val="en-US" w:eastAsia="zh-CN"/>
              </w:rPr>
              <w:t>2</w:t>
            </w:r>
            <w:r>
              <w:rPr>
                <w:rFonts w:hint="default" w:ascii="Times New Roman" w:hAnsi="Times New Roman" w:eastAsia="宋体" w:cs="Times New Roman"/>
                <w:b/>
                <w:bCs/>
                <w:color w:val="auto"/>
                <w:spacing w:val="0"/>
                <w:position w:val="0"/>
                <w:sz w:val="21"/>
                <w:szCs w:val="21"/>
                <w:highlight w:val="none"/>
                <w:lang w:val="en-US" w:eastAsia="zh-CN"/>
              </w:rPr>
              <w:t xml:space="preserve"> 与《</w:t>
            </w:r>
            <w:r>
              <w:rPr>
                <w:rFonts w:hint="default" w:ascii="Times New Roman" w:hAnsi="Times New Roman" w:eastAsia="宋体" w:cs="Times New Roman"/>
                <w:b/>
                <w:bCs/>
                <w:color w:val="auto"/>
                <w:spacing w:val="0"/>
                <w:w w:val="100"/>
                <w:kern w:val="2"/>
                <w:position w:val="0"/>
                <w:sz w:val="21"/>
                <w:szCs w:val="21"/>
                <w:highlight w:val="none"/>
                <w:lang w:val="en-US" w:eastAsia="zh-CN" w:bidi="ar-SA"/>
              </w:rPr>
              <w:t>新疆</w:t>
            </w:r>
            <w:r>
              <w:rPr>
                <w:rFonts w:hint="eastAsia" w:ascii="Times New Roman" w:hAnsi="Times New Roman" w:eastAsia="宋体" w:cs="Times New Roman"/>
                <w:b/>
                <w:bCs/>
                <w:color w:val="auto"/>
                <w:spacing w:val="0"/>
                <w:w w:val="100"/>
                <w:kern w:val="2"/>
                <w:position w:val="0"/>
                <w:sz w:val="21"/>
                <w:szCs w:val="21"/>
                <w:highlight w:val="none"/>
                <w:lang w:val="en-US" w:eastAsia="zh-CN" w:bidi="ar-SA"/>
              </w:rPr>
              <w:t>生产建设兵团“</w:t>
            </w:r>
            <w:r>
              <w:rPr>
                <w:rFonts w:hint="default" w:ascii="Times New Roman" w:hAnsi="Times New Roman" w:eastAsia="宋体" w:cs="Times New Roman"/>
                <w:b/>
                <w:bCs/>
                <w:color w:val="auto"/>
                <w:spacing w:val="0"/>
                <w:w w:val="100"/>
                <w:kern w:val="2"/>
                <w:position w:val="0"/>
                <w:sz w:val="21"/>
                <w:szCs w:val="21"/>
                <w:highlight w:val="none"/>
                <w:lang w:val="en-US" w:eastAsia="zh-CN" w:bidi="ar-SA"/>
              </w:rPr>
              <w:t>三线一单</w:t>
            </w:r>
            <w:r>
              <w:rPr>
                <w:rFonts w:hint="eastAsia" w:ascii="Times New Roman" w:hAnsi="Times New Roman" w:eastAsia="宋体" w:cs="Times New Roman"/>
                <w:b/>
                <w:bCs/>
                <w:color w:val="auto"/>
                <w:spacing w:val="0"/>
                <w:w w:val="100"/>
                <w:kern w:val="2"/>
                <w:position w:val="0"/>
                <w:sz w:val="21"/>
                <w:szCs w:val="21"/>
                <w:highlight w:val="none"/>
                <w:lang w:val="en-US" w:eastAsia="zh-CN" w:bidi="ar-SA"/>
              </w:rPr>
              <w:t>”</w:t>
            </w:r>
            <w:r>
              <w:rPr>
                <w:rFonts w:hint="default" w:ascii="Times New Roman" w:hAnsi="Times New Roman" w:eastAsia="宋体" w:cs="Times New Roman"/>
                <w:b/>
                <w:bCs/>
                <w:color w:val="auto"/>
                <w:spacing w:val="0"/>
                <w:w w:val="100"/>
                <w:kern w:val="2"/>
                <w:position w:val="0"/>
                <w:sz w:val="21"/>
                <w:szCs w:val="21"/>
                <w:highlight w:val="none"/>
                <w:lang w:val="en-US" w:eastAsia="zh-CN" w:bidi="ar-SA"/>
              </w:rPr>
              <w:t>生态环境分区管控方案</w:t>
            </w:r>
            <w:r>
              <w:rPr>
                <w:rFonts w:hint="default" w:ascii="Times New Roman" w:hAnsi="Times New Roman" w:eastAsia="宋体" w:cs="Times New Roman"/>
                <w:b/>
                <w:bCs/>
                <w:color w:val="auto"/>
                <w:spacing w:val="0"/>
                <w:position w:val="0"/>
                <w:sz w:val="21"/>
                <w:szCs w:val="21"/>
                <w:highlight w:val="none"/>
                <w:lang w:val="en-US" w:eastAsia="zh-CN"/>
              </w:rPr>
              <w:t>》</w:t>
            </w:r>
          </w:p>
          <w:p w14:paraId="18702344">
            <w:pPr>
              <w:keepNext w:val="0"/>
              <w:keepLines w:val="0"/>
              <w:pageBreakBefore w:val="0"/>
              <w:widowControl w:val="0"/>
              <w:kinsoku/>
              <w:wordWrap/>
              <w:topLinePunct w:val="0"/>
              <w:bidi w:val="0"/>
              <w:snapToGrid w:val="0"/>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符合性分析一览表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
            <w:tblGrid>
              <w:gridCol w:w="405"/>
              <w:gridCol w:w="2916"/>
              <w:gridCol w:w="2920"/>
              <w:gridCol w:w="607"/>
            </w:tblGrid>
            <w:tr w14:paraId="533E2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3805" w:type="dxa"/>
                  <w:gridSpan w:val="2"/>
                  <w:tcBorders>
                    <w:tl2br w:val="nil"/>
                    <w:tr2bl w:val="nil"/>
                  </w:tcBorders>
                  <w:noWrap w:val="0"/>
                  <w:vAlign w:val="center"/>
                </w:tcPr>
                <w:p w14:paraId="760232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lang w:val="en-US" w:eastAsia="zh-CN"/>
                    </w:rPr>
                    <w:t>生态环境分区管控方案</w:t>
                  </w:r>
                  <w:r>
                    <w:rPr>
                      <w:rFonts w:hint="default" w:ascii="Times New Roman" w:hAnsi="Times New Roman" w:eastAsia="宋体" w:cs="Times New Roman"/>
                      <w:b/>
                      <w:bCs/>
                      <w:color w:val="auto"/>
                      <w:spacing w:val="0"/>
                      <w:position w:val="0"/>
                      <w:sz w:val="21"/>
                      <w:szCs w:val="21"/>
                    </w:rPr>
                    <w:t>要求</w:t>
                  </w:r>
                </w:p>
              </w:tc>
              <w:tc>
                <w:tcPr>
                  <w:tcW w:w="3368" w:type="dxa"/>
                  <w:tcBorders>
                    <w:tl2br w:val="nil"/>
                    <w:tr2bl w:val="nil"/>
                  </w:tcBorders>
                  <w:noWrap w:val="0"/>
                  <w:vAlign w:val="center"/>
                </w:tcPr>
                <w:p w14:paraId="3D7299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rPr>
                    <w:t>项目情况</w:t>
                  </w:r>
                </w:p>
              </w:tc>
              <w:tc>
                <w:tcPr>
                  <w:tcW w:w="677" w:type="dxa"/>
                  <w:tcBorders>
                    <w:tl2br w:val="nil"/>
                    <w:tr2bl w:val="nil"/>
                  </w:tcBorders>
                  <w:noWrap w:val="0"/>
                  <w:vAlign w:val="center"/>
                </w:tcPr>
                <w:p w14:paraId="57D9269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rPr>
                    <w:t>符合性</w:t>
                  </w:r>
                </w:p>
              </w:tc>
            </w:tr>
            <w:tr w14:paraId="1537F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837" w:hRule="atLeast"/>
                <w:jc w:val="center"/>
              </w:trPr>
              <w:tc>
                <w:tcPr>
                  <w:tcW w:w="442" w:type="dxa"/>
                  <w:tcBorders>
                    <w:tl2br w:val="nil"/>
                    <w:tr2bl w:val="nil"/>
                  </w:tcBorders>
                  <w:noWrap w:val="0"/>
                  <w:vAlign w:val="center"/>
                </w:tcPr>
                <w:p w14:paraId="1AC45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rPr>
                    <w:t>生态保护红线</w:t>
                  </w:r>
                </w:p>
              </w:tc>
              <w:tc>
                <w:tcPr>
                  <w:tcW w:w="3363" w:type="dxa"/>
                  <w:tcBorders>
                    <w:tl2br w:val="nil"/>
                    <w:tr2bl w:val="nil"/>
                  </w:tcBorders>
                  <w:noWrap w:val="0"/>
                  <w:vAlign w:val="center"/>
                </w:tcPr>
                <w:p w14:paraId="187E0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rPr>
                    <w:t>按照</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生态功能不降低、面积不减少、性质不改变</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的基本要求，对划定的生态保护红线实施严格管控，保障和维护国家生态安全的底线和生命线。</w:t>
                  </w:r>
                </w:p>
              </w:tc>
              <w:tc>
                <w:tcPr>
                  <w:tcW w:w="3368" w:type="dxa"/>
                  <w:tcBorders>
                    <w:tl2br w:val="nil"/>
                    <w:tr2bl w:val="nil"/>
                  </w:tcBorders>
                  <w:noWrap w:val="0"/>
                  <w:vAlign w:val="center"/>
                </w:tcPr>
                <w:p w14:paraId="0DDA5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eastAsia="zh-CN"/>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default" w:ascii="Times New Roman" w:hAnsi="Times New Roman" w:eastAsia="宋体" w:cs="Times New Roman"/>
                      <w:color w:val="auto"/>
                      <w:spacing w:val="0"/>
                      <w:kern w:val="0"/>
                      <w:position w:val="0"/>
                      <w:sz w:val="21"/>
                      <w:szCs w:val="21"/>
                    </w:rPr>
                    <w:t>，</w:t>
                  </w:r>
                  <w:r>
                    <w:rPr>
                      <w:rFonts w:hint="eastAsia" w:ascii="Times New Roman" w:hAnsi="Times New Roman" w:eastAsia="宋体" w:cs="Times New Roman"/>
                      <w:color w:val="auto"/>
                      <w:spacing w:val="0"/>
                      <w:position w:val="0"/>
                      <w:sz w:val="21"/>
                      <w:szCs w:val="21"/>
                      <w:lang w:val="en-US" w:eastAsia="zh-CN"/>
                    </w:rPr>
                    <w:t>位于工业园区内</w:t>
                  </w:r>
                  <w:r>
                    <w:rPr>
                      <w:rFonts w:hint="default" w:ascii="Times New Roman" w:hAnsi="Times New Roman" w:eastAsia="宋体" w:cs="Times New Roman"/>
                      <w:color w:val="auto"/>
                      <w:spacing w:val="0"/>
                      <w:position w:val="0"/>
                      <w:sz w:val="21"/>
                      <w:szCs w:val="21"/>
                      <w:lang w:eastAsia="zh-CN"/>
                    </w:rPr>
                    <w:t>，本项目</w:t>
                  </w:r>
                  <w:r>
                    <w:rPr>
                      <w:rFonts w:hint="default" w:ascii="Times New Roman" w:hAnsi="Times New Roman" w:eastAsia="宋体" w:cs="Times New Roman"/>
                      <w:color w:val="auto"/>
                      <w:spacing w:val="0"/>
                      <w:position w:val="0"/>
                      <w:sz w:val="21"/>
                      <w:szCs w:val="21"/>
                      <w:highlight w:val="none"/>
                      <w:lang w:eastAsia="zh-CN"/>
                    </w:rPr>
                    <w:t>不涉及生态红线保护区域。</w:t>
                  </w:r>
                </w:p>
              </w:tc>
              <w:tc>
                <w:tcPr>
                  <w:tcW w:w="677" w:type="dxa"/>
                  <w:tcBorders>
                    <w:tl2br w:val="nil"/>
                    <w:tr2bl w:val="nil"/>
                  </w:tcBorders>
                  <w:noWrap w:val="0"/>
                  <w:vAlign w:val="center"/>
                </w:tcPr>
                <w:p w14:paraId="6B96A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rPr>
                    <w:t>符合</w:t>
                  </w:r>
                </w:p>
              </w:tc>
            </w:tr>
            <w:tr w14:paraId="4520A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442" w:type="dxa"/>
                  <w:tcBorders>
                    <w:tl2br w:val="nil"/>
                    <w:tr2bl w:val="nil"/>
                  </w:tcBorders>
                  <w:noWrap w:val="0"/>
                  <w:vAlign w:val="center"/>
                </w:tcPr>
                <w:p w14:paraId="02103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rPr>
                    <w:t>环境质量底线</w:t>
                  </w:r>
                </w:p>
              </w:tc>
              <w:tc>
                <w:tcPr>
                  <w:tcW w:w="3363" w:type="dxa"/>
                  <w:tcBorders>
                    <w:tl2br w:val="nil"/>
                    <w:tr2bl w:val="nil"/>
                  </w:tcBorders>
                  <w:noWrap w:val="0"/>
                  <w:vAlign w:val="center"/>
                </w:tcPr>
                <w:p w14:paraId="1EBDB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宋体" w:hAnsi="宋体" w:eastAsia="宋体" w:cs="宋体"/>
                      <w:i w:val="0"/>
                      <w:iCs w:val="0"/>
                      <w:caps w:val="0"/>
                      <w:color w:val="auto"/>
                      <w:spacing w:val="0"/>
                      <w:position w:val="0"/>
                      <w:sz w:val="21"/>
                      <w:szCs w:val="21"/>
                      <w:shd w:val="clear" w:color="auto" w:fill="FFFFFF"/>
                    </w:rPr>
                    <w:t>水环境质量持续改善，受污染地表水体得到有效治理，河流水质优良断面比例保持稳定，饮用水安全保障水平持续提升，地下水水质保持稳定。环境空气质量稳步提升，重污染天数持续减少，已达标城市环境空气质量保持稳定，未达标城市环境空气质量持续改善。土壤环境质量保持稳定，受污染地块安全利用水平稳中求进，土壤环境风险得到进一步管控。</w:t>
                  </w:r>
                </w:p>
              </w:tc>
              <w:tc>
                <w:tcPr>
                  <w:tcW w:w="3368" w:type="dxa"/>
                  <w:tcBorders>
                    <w:tl2br w:val="nil"/>
                    <w:tr2bl w:val="nil"/>
                  </w:tcBorders>
                  <w:noWrap w:val="0"/>
                  <w:vAlign w:val="center"/>
                </w:tcPr>
                <w:p w14:paraId="0E83DF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eastAsia="zh-CN"/>
                    </w:rPr>
                    <w:t>根据</w:t>
                  </w:r>
                  <w:r>
                    <w:rPr>
                      <w:rFonts w:hint="default" w:ascii="Times New Roman" w:hAnsi="Times New Roman" w:eastAsia="宋体" w:cs="Times New Roman"/>
                      <w:color w:val="auto"/>
                      <w:spacing w:val="0"/>
                      <w:position w:val="0"/>
                      <w:sz w:val="21"/>
                      <w:szCs w:val="21"/>
                      <w:highlight w:val="none"/>
                    </w:rPr>
                    <w:t>本项目</w:t>
                  </w:r>
                  <w:r>
                    <w:rPr>
                      <w:rFonts w:hint="default" w:ascii="Times New Roman" w:hAnsi="Times New Roman" w:eastAsia="宋体" w:cs="Times New Roman"/>
                      <w:color w:val="auto"/>
                      <w:spacing w:val="0"/>
                      <w:position w:val="0"/>
                      <w:sz w:val="21"/>
                      <w:szCs w:val="21"/>
                      <w:highlight w:val="none"/>
                      <w:lang w:eastAsia="zh-CN"/>
                    </w:rPr>
                    <w:t>运营特点，运营期</w:t>
                  </w:r>
                  <w:r>
                    <w:rPr>
                      <w:rFonts w:hint="eastAsia" w:ascii="Times New Roman" w:hAnsi="Times New Roman" w:eastAsia="宋体" w:cs="Times New Roman"/>
                      <w:color w:val="auto"/>
                      <w:spacing w:val="0"/>
                      <w:position w:val="0"/>
                      <w:sz w:val="21"/>
                      <w:szCs w:val="21"/>
                      <w:highlight w:val="none"/>
                      <w:lang w:val="en-US" w:eastAsia="zh-CN"/>
                    </w:rPr>
                    <w:t>循环冷却用水，职工生活用水排入园区污水管网由</w:t>
                  </w:r>
                  <w:r>
                    <w:rPr>
                      <w:rFonts w:hint="eastAsia"/>
                      <w:color w:val="auto"/>
                      <w:spacing w:val="0"/>
                      <w:position w:val="0"/>
                      <w:sz w:val="21"/>
                      <w:szCs w:val="21"/>
                      <w:lang w:val="en-US" w:eastAsia="zh-CN"/>
                    </w:rPr>
                    <w:t>天北经开区污水处理厂处理</w:t>
                  </w:r>
                  <w:r>
                    <w:rPr>
                      <w:rFonts w:hint="default" w:ascii="Times New Roman" w:hAnsi="Times New Roman" w:eastAsia="宋体" w:cs="Times New Roman"/>
                      <w:color w:val="auto"/>
                      <w:spacing w:val="0"/>
                      <w:position w:val="0"/>
                      <w:sz w:val="21"/>
                      <w:szCs w:val="21"/>
                      <w:highlight w:val="none"/>
                      <w:lang w:val="en-US" w:eastAsia="zh-CN"/>
                    </w:rPr>
                    <w:t>，废气中的污染物主要为</w:t>
                  </w:r>
                  <w:r>
                    <w:rPr>
                      <w:rFonts w:hint="eastAsia" w:ascii="Times New Roman" w:hAnsi="Times New Roman" w:eastAsia="宋体" w:cs="Times New Roman"/>
                      <w:color w:val="auto"/>
                      <w:spacing w:val="0"/>
                      <w:position w:val="0"/>
                      <w:sz w:val="21"/>
                      <w:szCs w:val="21"/>
                      <w:highlight w:val="none"/>
                      <w:lang w:val="en-US" w:eastAsia="zh-CN"/>
                    </w:rPr>
                    <w:t>颗粒物、</w:t>
                  </w:r>
                  <w:r>
                    <w:rPr>
                      <w:rFonts w:hint="default" w:ascii="Times New Roman" w:hAnsi="Times New Roman" w:eastAsia="宋体" w:cs="Times New Roman"/>
                      <w:color w:val="auto"/>
                      <w:spacing w:val="0"/>
                      <w:position w:val="0"/>
                      <w:sz w:val="21"/>
                      <w:szCs w:val="21"/>
                      <w:highlight w:val="none"/>
                      <w:lang w:val="en-US" w:eastAsia="zh-CN"/>
                    </w:rPr>
                    <w:t>非甲烷总烃，</w:t>
                  </w:r>
                  <w:r>
                    <w:rPr>
                      <w:rFonts w:hint="eastAsia" w:ascii="Times New Roman" w:hAnsi="Times New Roman" w:eastAsia="宋体" w:cs="Times New Roman"/>
                      <w:color w:val="auto"/>
                      <w:spacing w:val="0"/>
                      <w:position w:val="0"/>
                      <w:sz w:val="21"/>
                      <w:szCs w:val="21"/>
                      <w:highlight w:val="none"/>
                      <w:lang w:val="en-US" w:eastAsia="zh-CN"/>
                    </w:rPr>
                    <w:t>本项目提出使用布袋除尘器和活性炭吸附脱附加催化燃烧器处理废气</w:t>
                  </w:r>
                  <w:r>
                    <w:rPr>
                      <w:rFonts w:hint="default"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lang w:val="en-US" w:eastAsia="zh-CN"/>
                    </w:rPr>
                    <w:t>同时本项目</w:t>
                  </w:r>
                  <w:r>
                    <w:rPr>
                      <w:rFonts w:hint="eastAsia" w:ascii="Times New Roman" w:hAnsi="Times New Roman" w:eastAsia="宋体" w:cs="Times New Roman"/>
                      <w:b w:val="0"/>
                      <w:color w:val="auto"/>
                      <w:spacing w:val="0"/>
                      <w:position w:val="0"/>
                      <w:sz w:val="21"/>
                      <w:szCs w:val="21"/>
                      <w:highlight w:val="none"/>
                      <w:lang w:eastAsia="zh-CN"/>
                    </w:rPr>
                    <w:t>危险废物暂存</w:t>
                  </w:r>
                  <w:r>
                    <w:rPr>
                      <w:rFonts w:hint="eastAsia" w:ascii="Times New Roman" w:hAnsi="Times New Roman" w:eastAsia="宋体" w:cs="Times New Roman"/>
                      <w:b w:val="0"/>
                      <w:color w:val="auto"/>
                      <w:spacing w:val="0"/>
                      <w:position w:val="0"/>
                      <w:sz w:val="21"/>
                      <w:szCs w:val="21"/>
                      <w:highlight w:val="none"/>
                      <w:lang w:val="en-US" w:eastAsia="zh-CN"/>
                    </w:rPr>
                    <w:t>间</w:t>
                  </w:r>
                  <w:r>
                    <w:rPr>
                      <w:rFonts w:hint="eastAsia" w:ascii="Times New Roman" w:hAnsi="Times New Roman" w:eastAsia="宋体" w:cs="宋体"/>
                      <w:b w:val="0"/>
                      <w:color w:val="auto"/>
                      <w:kern w:val="0"/>
                      <w:sz w:val="21"/>
                      <w:szCs w:val="21"/>
                      <w:vertAlign w:val="baseline"/>
                      <w:lang w:val="en-US" w:eastAsia="zh-CN"/>
                    </w:rPr>
                    <w:t>地面、墙裙、导流槽、收集池采用C30混凝土浇筑建造，浇筑厚度大于15</w:t>
                  </w:r>
                  <w:r>
                    <w:rPr>
                      <w:rFonts w:hint="eastAsia" w:cs="宋体"/>
                      <w:b w:val="0"/>
                      <w:color w:val="auto"/>
                      <w:kern w:val="0"/>
                      <w:sz w:val="21"/>
                      <w:szCs w:val="21"/>
                      <w:vertAlign w:val="baseline"/>
                      <w:lang w:val="en-US" w:eastAsia="zh-CN"/>
                    </w:rPr>
                    <w:t>cm</w:t>
                  </w:r>
                  <w:r>
                    <w:rPr>
                      <w:rFonts w:hint="eastAsia" w:ascii="Times New Roman" w:hAnsi="Times New Roman" w:eastAsia="宋体" w:cs="宋体"/>
                      <w:b w:val="0"/>
                      <w:color w:val="auto"/>
                      <w:kern w:val="0"/>
                      <w:sz w:val="21"/>
                      <w:szCs w:val="21"/>
                      <w:vertAlign w:val="baseline"/>
                      <w:lang w:val="en-US" w:eastAsia="zh-CN"/>
                    </w:rPr>
                    <w:t>，清洁处理后分两次涂刷环氧树脂地坪漆，环氧树脂地坪漆厚度不应小于2mm</w:t>
                  </w:r>
                  <w:r>
                    <w:rPr>
                      <w:rFonts w:hint="eastAsia" w:ascii="Times New Roman" w:hAnsi="Times New Roman" w:eastAsia="宋体" w:cs="宋体"/>
                      <w:b w:val="0"/>
                      <w:color w:val="auto"/>
                      <w:kern w:val="0"/>
                      <w:sz w:val="21"/>
                      <w:szCs w:val="20"/>
                      <w:lang w:val="en-US" w:eastAsia="zh-CN" w:bidi="ar"/>
                    </w:rPr>
                    <w:t>，</w:t>
                  </w:r>
                  <w:r>
                    <w:rPr>
                      <w:rFonts w:hint="default" w:ascii="Times New Roman" w:hAnsi="Times New Roman" w:eastAsia="宋体" w:cs="Times New Roman"/>
                      <w:b w:val="0"/>
                      <w:color w:val="auto"/>
                      <w:spacing w:val="0"/>
                      <w:kern w:val="0"/>
                      <w:position w:val="0"/>
                      <w:sz w:val="21"/>
                      <w:szCs w:val="21"/>
                      <w:highlight w:val="none"/>
                      <w:vertAlign w:val="baseline"/>
                      <w:lang w:val="en-US" w:eastAsia="zh-CN"/>
                    </w:rPr>
                    <w:t>导流槽、</w:t>
                  </w:r>
                  <w:r>
                    <w:rPr>
                      <w:rFonts w:hint="eastAsia" w:ascii="Times New Roman" w:hAnsi="Times New Roman" w:eastAsia="宋体" w:cs="Times New Roman"/>
                      <w:b w:val="0"/>
                      <w:color w:val="auto"/>
                      <w:spacing w:val="0"/>
                      <w:kern w:val="0"/>
                      <w:position w:val="0"/>
                      <w:sz w:val="21"/>
                      <w:szCs w:val="21"/>
                      <w:highlight w:val="none"/>
                      <w:vertAlign w:val="baseline"/>
                      <w:lang w:val="en-US" w:eastAsia="zh-CN"/>
                    </w:rPr>
                    <w:t>废液收集池（容积1m</w:t>
                  </w:r>
                  <w:r>
                    <w:rPr>
                      <w:rFonts w:hint="eastAsia" w:ascii="Times New Roman" w:hAnsi="Times New Roman" w:eastAsia="宋体" w:cs="Times New Roman"/>
                      <w:b w:val="0"/>
                      <w:color w:val="auto"/>
                      <w:spacing w:val="0"/>
                      <w:kern w:val="0"/>
                      <w:position w:val="0"/>
                      <w:sz w:val="21"/>
                      <w:szCs w:val="21"/>
                      <w:highlight w:val="none"/>
                      <w:vertAlign w:val="superscript"/>
                      <w:lang w:val="en-US" w:eastAsia="zh-CN"/>
                    </w:rPr>
                    <w:t>3</w:t>
                  </w:r>
                  <w:r>
                    <w:rPr>
                      <w:rFonts w:hint="eastAsia" w:ascii="Times New Roman" w:hAnsi="Times New Roman" w:eastAsia="宋体" w:cs="Times New Roman"/>
                      <w:b w:val="0"/>
                      <w:color w:val="auto"/>
                      <w:spacing w:val="0"/>
                      <w:kern w:val="0"/>
                      <w:position w:val="0"/>
                      <w:sz w:val="21"/>
                      <w:szCs w:val="21"/>
                      <w:highlight w:val="none"/>
                      <w:vertAlign w:val="baseli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，采取以上措施后对</w:t>
                  </w:r>
                  <w:r>
                    <w:rPr>
                      <w:rFonts w:hint="default" w:ascii="Times New Roman" w:hAnsi="Times New Roman" w:eastAsia="宋体" w:cs="Times New Roman"/>
                      <w:b w:val="0"/>
                      <w:bCs/>
                      <w:color w:val="auto"/>
                      <w:spacing w:val="0"/>
                      <w:position w:val="0"/>
                      <w:sz w:val="21"/>
                      <w:szCs w:val="21"/>
                      <w:highlight w:val="none"/>
                    </w:rPr>
                    <w:t>土壤</w:t>
                  </w:r>
                  <w:r>
                    <w:rPr>
                      <w:rFonts w:hint="eastAsia" w:ascii="Times New Roman" w:hAnsi="Times New Roman" w:eastAsia="宋体" w:cs="Times New Roman"/>
                      <w:b w:val="0"/>
                      <w:bCs/>
                      <w:color w:val="auto"/>
                      <w:spacing w:val="0"/>
                      <w:position w:val="0"/>
                      <w:sz w:val="21"/>
                      <w:szCs w:val="21"/>
                      <w:highlight w:val="none"/>
                      <w:lang w:eastAsia="zh-CN"/>
                    </w:rPr>
                    <w:t>、</w:t>
                  </w:r>
                  <w:r>
                    <w:rPr>
                      <w:rFonts w:hint="eastAsia" w:ascii="Times New Roman" w:hAnsi="Times New Roman" w:eastAsia="宋体" w:cs="Times New Roman"/>
                      <w:b w:val="0"/>
                      <w:bCs/>
                      <w:color w:val="auto"/>
                      <w:spacing w:val="0"/>
                      <w:position w:val="0"/>
                      <w:sz w:val="21"/>
                      <w:szCs w:val="21"/>
                      <w:highlight w:val="none"/>
                      <w:lang w:val="en-US" w:eastAsia="zh-CN"/>
                    </w:rPr>
                    <w:t>地下水</w:t>
                  </w:r>
                  <w:r>
                    <w:rPr>
                      <w:rFonts w:hint="default" w:ascii="Times New Roman" w:hAnsi="Times New Roman" w:eastAsia="宋体" w:cs="Times New Roman"/>
                      <w:b w:val="0"/>
                      <w:bCs/>
                      <w:color w:val="auto"/>
                      <w:spacing w:val="0"/>
                      <w:position w:val="0"/>
                      <w:sz w:val="21"/>
                      <w:szCs w:val="21"/>
                      <w:highlight w:val="none"/>
                    </w:rPr>
                    <w:t>环境风险得到进一步管控</w:t>
                  </w:r>
                  <w:r>
                    <w:rPr>
                      <w:rFonts w:hint="default" w:ascii="Times New Roman" w:hAnsi="Times New Roman" w:eastAsia="宋体" w:cs="Times New Roman"/>
                      <w:color w:val="auto"/>
                      <w:spacing w:val="0"/>
                      <w:position w:val="0"/>
                      <w:sz w:val="21"/>
                      <w:szCs w:val="21"/>
                      <w:highlight w:val="none"/>
                      <w:lang w:val="en-US" w:eastAsia="zh-CN"/>
                    </w:rPr>
                    <w:t>。</w:t>
                  </w:r>
                </w:p>
              </w:tc>
              <w:tc>
                <w:tcPr>
                  <w:tcW w:w="677" w:type="dxa"/>
                  <w:tcBorders>
                    <w:tl2br w:val="nil"/>
                    <w:tr2bl w:val="nil"/>
                  </w:tcBorders>
                  <w:noWrap w:val="0"/>
                  <w:vAlign w:val="center"/>
                </w:tcPr>
                <w:p w14:paraId="33214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rPr>
                    <w:t>符合</w:t>
                  </w:r>
                </w:p>
              </w:tc>
            </w:tr>
            <w:tr w14:paraId="538A2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87" w:hRule="atLeast"/>
                <w:jc w:val="center"/>
              </w:trPr>
              <w:tc>
                <w:tcPr>
                  <w:tcW w:w="442" w:type="dxa"/>
                  <w:tcBorders>
                    <w:tl2br w:val="nil"/>
                    <w:tr2bl w:val="nil"/>
                  </w:tcBorders>
                  <w:noWrap w:val="0"/>
                  <w:vAlign w:val="center"/>
                </w:tcPr>
                <w:p w14:paraId="2488A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rPr>
                    <w:t>资源利用上线</w:t>
                  </w:r>
                </w:p>
              </w:tc>
              <w:tc>
                <w:tcPr>
                  <w:tcW w:w="3363" w:type="dxa"/>
                  <w:tcBorders>
                    <w:tl2br w:val="nil"/>
                    <w:tr2bl w:val="nil"/>
                  </w:tcBorders>
                  <w:noWrap w:val="0"/>
                  <w:vAlign w:val="center"/>
                </w:tcPr>
                <w:p w14:paraId="58A83F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b w:val="0"/>
                      <w:bCs/>
                      <w:color w:val="auto"/>
                      <w:spacing w:val="0"/>
                      <w:position w:val="0"/>
                      <w:sz w:val="21"/>
                      <w:szCs w:val="21"/>
                      <w:highlight w:val="none"/>
                      <w:lang w:eastAsia="zh-CN"/>
                    </w:rPr>
                    <w:t>强化节约集约利用，持续提升资源能源利用效率，水资源、土地资源、能源消耗达到国家、兵团下达的总量和强度控制目标，地下水超采得到严格控制。加快区域低碳发展，积极推动低碳试点城市建设，发挥低碳试点示范引领作用。</w:t>
                  </w:r>
                </w:p>
              </w:tc>
              <w:tc>
                <w:tcPr>
                  <w:tcW w:w="3368" w:type="dxa"/>
                  <w:tcBorders>
                    <w:tl2br w:val="nil"/>
                    <w:tr2bl w:val="nil"/>
                  </w:tcBorders>
                  <w:noWrap w:val="0"/>
                  <w:vAlign w:val="center"/>
                </w:tcPr>
                <w:p w14:paraId="4090A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rPr>
                    <w:t>本项目</w:t>
                  </w:r>
                  <w:r>
                    <w:rPr>
                      <w:rFonts w:hint="default" w:ascii="Times New Roman" w:hAnsi="Times New Roman" w:eastAsia="宋体" w:cs="Times New Roman"/>
                      <w:color w:val="auto"/>
                      <w:spacing w:val="0"/>
                      <w:position w:val="0"/>
                      <w:sz w:val="21"/>
                      <w:szCs w:val="21"/>
                      <w:highlight w:val="none"/>
                      <w:lang w:eastAsia="zh-CN"/>
                    </w:rPr>
                    <w:t>为</w:t>
                  </w:r>
                  <w:r>
                    <w:rPr>
                      <w:rFonts w:hint="eastAsia" w:ascii="Times New Roman" w:hAnsi="Times New Roman" w:eastAsia="宋体" w:cs="Times New Roman"/>
                      <w:color w:val="auto"/>
                      <w:spacing w:val="0"/>
                      <w:position w:val="0"/>
                      <w:sz w:val="21"/>
                      <w:szCs w:val="21"/>
                      <w:highlight w:val="none"/>
                      <w:lang w:val="en-US" w:eastAsia="zh-CN"/>
                    </w:rPr>
                    <w:t>管件制造项目</w:t>
                  </w:r>
                  <w:r>
                    <w:rPr>
                      <w:rFonts w:hint="default" w:ascii="Times New Roman" w:hAnsi="Times New Roman" w:eastAsia="宋体" w:cs="Times New Roman"/>
                      <w:color w:val="auto"/>
                      <w:spacing w:val="0"/>
                      <w:position w:val="0"/>
                      <w:sz w:val="21"/>
                      <w:szCs w:val="21"/>
                      <w:highlight w:val="none"/>
                      <w:lang w:val="en-US" w:eastAsia="zh-CN"/>
                    </w:rPr>
                    <w:t>，正常运营</w:t>
                  </w:r>
                  <w:r>
                    <w:rPr>
                      <w:rFonts w:hint="default" w:ascii="Times New Roman" w:hAnsi="Times New Roman" w:eastAsia="宋体" w:cs="Times New Roman"/>
                      <w:color w:val="auto"/>
                      <w:spacing w:val="0"/>
                      <w:position w:val="0"/>
                      <w:sz w:val="21"/>
                      <w:szCs w:val="21"/>
                      <w:highlight w:val="none"/>
                    </w:rPr>
                    <w:t>主要消耗的资源</w:t>
                  </w:r>
                  <w:r>
                    <w:rPr>
                      <w:rFonts w:hint="default" w:ascii="Times New Roman" w:hAnsi="Times New Roman" w:eastAsia="宋体" w:cs="Times New Roman"/>
                      <w:color w:val="auto"/>
                      <w:spacing w:val="0"/>
                      <w:position w:val="0"/>
                      <w:sz w:val="21"/>
                      <w:szCs w:val="21"/>
                      <w:highlight w:val="none"/>
                      <w:lang w:eastAsia="zh-CN"/>
                    </w:rPr>
                    <w:t>为电能</w:t>
                  </w:r>
                  <w:r>
                    <w:rPr>
                      <w:rFonts w:hint="eastAsia" w:ascii="Times New Roman" w:hAnsi="Times New Roman" w:eastAsia="宋体" w:cs="Times New Roman"/>
                      <w:color w:val="auto"/>
                      <w:spacing w:val="0"/>
                      <w:position w:val="0"/>
                      <w:sz w:val="21"/>
                      <w:szCs w:val="21"/>
                      <w:highlight w:val="none"/>
                      <w:lang w:val="en-US" w:eastAsia="zh-CN"/>
                    </w:rPr>
                    <w:t>200</w:t>
                  </w:r>
                  <w:r>
                    <w:rPr>
                      <w:rFonts w:hint="default" w:ascii="Times New Roman" w:hAnsi="Times New Roman" w:cs="Times New Roman"/>
                      <w:color w:val="auto"/>
                      <w:spacing w:val="0"/>
                      <w:kern w:val="0"/>
                      <w:position w:val="0"/>
                      <w:sz w:val="21"/>
                      <w:szCs w:val="21"/>
                      <w:lang w:eastAsia="zh-CN"/>
                    </w:rPr>
                    <w:t>万</w:t>
                  </w:r>
                  <w:r>
                    <w:rPr>
                      <w:rFonts w:hint="default" w:ascii="Times New Roman" w:hAnsi="Times New Roman" w:cs="Times New Roman"/>
                      <w:color w:val="auto"/>
                      <w:spacing w:val="0"/>
                      <w:kern w:val="0"/>
                      <w:position w:val="0"/>
                      <w:sz w:val="21"/>
                      <w:szCs w:val="21"/>
                    </w:rPr>
                    <w:t>kW·h/a</w:t>
                  </w:r>
                  <w:r>
                    <w:rPr>
                      <w:rFonts w:hint="default" w:ascii="Times New Roman" w:hAnsi="Times New Roman" w:eastAsia="宋体" w:cs="Times New Roman"/>
                      <w:color w:val="auto"/>
                      <w:spacing w:val="0"/>
                      <w:position w:val="0"/>
                      <w:sz w:val="21"/>
                      <w:szCs w:val="21"/>
                      <w:highlight w:val="none"/>
                      <w:lang w:eastAsia="zh-CN"/>
                    </w:rPr>
                    <w:t>，</w:t>
                  </w:r>
                  <w:r>
                    <w:rPr>
                      <w:rFonts w:hint="eastAsia" w:ascii="Times New Roman" w:hAnsi="Times New Roman" w:eastAsia="宋体" w:cs="Times New Roman"/>
                      <w:color w:val="auto"/>
                      <w:spacing w:val="0"/>
                      <w:position w:val="0"/>
                      <w:sz w:val="21"/>
                      <w:szCs w:val="21"/>
                      <w:highlight w:val="none"/>
                      <w:lang w:val="en-US" w:eastAsia="zh-CN"/>
                    </w:rPr>
                    <w:t>水量消耗不大，33</w:t>
                  </w:r>
                  <w:r>
                    <w:rPr>
                      <w:rFonts w:hint="eastAsia" w:cs="Times New Roman"/>
                      <w:color w:val="auto"/>
                      <w:spacing w:val="0"/>
                      <w:position w:val="0"/>
                      <w:sz w:val="21"/>
                      <w:szCs w:val="21"/>
                      <w:highlight w:val="none"/>
                      <w:lang w:val="en-US" w:eastAsia="zh-CN"/>
                    </w:rPr>
                    <w:t>6</w:t>
                  </w:r>
                  <w:r>
                    <w:rPr>
                      <w:rFonts w:hint="eastAsia" w:ascii="Times New Roman" w:hAnsi="Times New Roman" w:eastAsia="宋体" w:cs="Times New Roman"/>
                      <w:color w:val="auto"/>
                      <w:spacing w:val="0"/>
                      <w:position w:val="0"/>
                      <w:sz w:val="21"/>
                      <w:szCs w:val="21"/>
                      <w:highlight w:val="none"/>
                      <w:lang w:val="en-US" w:eastAsia="zh-CN"/>
                    </w:rPr>
                    <w:t>t/a，</w:t>
                  </w:r>
                  <w:r>
                    <w:rPr>
                      <w:rFonts w:hint="default" w:ascii="Times New Roman" w:hAnsi="Times New Roman" w:eastAsia="宋体" w:cs="Times New Roman"/>
                      <w:color w:val="auto"/>
                      <w:spacing w:val="0"/>
                      <w:position w:val="0"/>
                      <w:sz w:val="21"/>
                      <w:szCs w:val="21"/>
                      <w:highlight w:val="none"/>
                      <w:lang w:eastAsia="zh-CN"/>
                    </w:rPr>
                    <w:t>不新增占地</w:t>
                  </w:r>
                  <w:r>
                    <w:rPr>
                      <w:rFonts w:hint="default" w:ascii="Times New Roman" w:hAnsi="Times New Roman" w:eastAsia="宋体" w:cs="Times New Roman"/>
                      <w:color w:val="auto"/>
                      <w:spacing w:val="0"/>
                      <w:position w:val="0"/>
                      <w:sz w:val="21"/>
                      <w:szCs w:val="21"/>
                      <w:highlight w:val="none"/>
                    </w:rPr>
                    <w:t>，</w:t>
                  </w:r>
                  <w:r>
                    <w:rPr>
                      <w:rFonts w:hint="default" w:ascii="Times New Roman" w:hAnsi="Times New Roman" w:eastAsia="宋体" w:cs="Times New Roman"/>
                      <w:color w:val="auto"/>
                      <w:spacing w:val="0"/>
                      <w:position w:val="0"/>
                      <w:sz w:val="21"/>
                      <w:szCs w:val="21"/>
                    </w:rPr>
                    <w:t>本项目资源消耗量</w:t>
                  </w:r>
                  <w:r>
                    <w:rPr>
                      <w:rFonts w:hint="eastAsia" w:ascii="Times New Roman" w:hAnsi="Times New Roman" w:eastAsia="宋体" w:cs="Times New Roman"/>
                      <w:color w:val="auto"/>
                      <w:spacing w:val="0"/>
                      <w:position w:val="0"/>
                      <w:sz w:val="21"/>
                      <w:szCs w:val="21"/>
                      <w:lang w:val="en-US" w:eastAsia="zh-CN"/>
                    </w:rPr>
                    <w:t>不大</w:t>
                  </w:r>
                  <w:r>
                    <w:rPr>
                      <w:rFonts w:hint="default" w:ascii="Times New Roman" w:hAnsi="Times New Roman" w:eastAsia="宋体" w:cs="Times New Roman"/>
                      <w:color w:val="auto"/>
                      <w:spacing w:val="0"/>
                      <w:position w:val="0"/>
                      <w:sz w:val="21"/>
                      <w:szCs w:val="21"/>
                    </w:rPr>
                    <w:t>，符合资源利用上</w:t>
                  </w:r>
                  <w:r>
                    <w:rPr>
                      <w:rFonts w:hint="eastAsia" w:ascii="Times New Roman" w:hAnsi="Times New Roman" w:eastAsia="宋体" w:cs="Times New Roman"/>
                      <w:color w:val="auto"/>
                      <w:spacing w:val="0"/>
                      <w:position w:val="0"/>
                      <w:sz w:val="21"/>
                      <w:szCs w:val="21"/>
                      <w:lang w:eastAsia="zh-CN"/>
                    </w:rPr>
                    <w:t>限</w:t>
                  </w:r>
                  <w:r>
                    <w:rPr>
                      <w:rFonts w:hint="default" w:ascii="Times New Roman" w:hAnsi="Times New Roman" w:eastAsia="宋体" w:cs="Times New Roman"/>
                      <w:color w:val="auto"/>
                      <w:spacing w:val="0"/>
                      <w:position w:val="0"/>
                      <w:sz w:val="21"/>
                      <w:szCs w:val="21"/>
                    </w:rPr>
                    <w:t>要求。</w:t>
                  </w:r>
                </w:p>
              </w:tc>
              <w:tc>
                <w:tcPr>
                  <w:tcW w:w="677" w:type="dxa"/>
                  <w:tcBorders>
                    <w:tl2br w:val="nil"/>
                    <w:tr2bl w:val="nil"/>
                  </w:tcBorders>
                  <w:noWrap w:val="0"/>
                  <w:vAlign w:val="center"/>
                </w:tcPr>
                <w:p w14:paraId="05A2F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rPr>
                    <w:t>符合</w:t>
                  </w:r>
                </w:p>
              </w:tc>
            </w:tr>
          </w:tbl>
          <w:p w14:paraId="55037B05">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color w:val="auto"/>
                <w:spacing w:val="0"/>
                <w:position w:val="0"/>
                <w:sz w:val="21"/>
                <w:szCs w:val="21"/>
              </w:rPr>
            </w:pPr>
            <w:r>
              <w:rPr>
                <w:rFonts w:hint="eastAsia"/>
                <w:b/>
                <w:bCs/>
                <w:color w:val="auto"/>
                <w:spacing w:val="0"/>
                <w:position w:val="0"/>
                <w:sz w:val="21"/>
                <w:szCs w:val="21"/>
                <w:lang w:val="en-US" w:eastAsia="zh-CN"/>
              </w:rPr>
              <w:t>4</w:t>
            </w:r>
            <w:r>
              <w:rPr>
                <w:rFonts w:hint="eastAsia"/>
                <w:b/>
                <w:bCs/>
                <w:color w:val="auto"/>
                <w:spacing w:val="0"/>
                <w:position w:val="0"/>
                <w:sz w:val="21"/>
                <w:szCs w:val="21"/>
              </w:rPr>
              <w:t>与</w:t>
            </w:r>
            <w:r>
              <w:rPr>
                <w:rFonts w:hint="eastAsia" w:ascii="Times New Roman" w:hAnsi="Times New Roman" w:eastAsia="宋体" w:cs="Times New Roman"/>
                <w:b/>
                <w:bCs/>
                <w:color w:val="auto"/>
                <w:spacing w:val="0"/>
                <w:position w:val="0"/>
                <w:sz w:val="21"/>
                <w:szCs w:val="21"/>
                <w:lang w:val="en-US" w:eastAsia="zh-CN"/>
              </w:rPr>
              <w:t>（</w:t>
            </w:r>
            <w:r>
              <w:rPr>
                <w:rFonts w:hint="default" w:ascii="Times New Roman" w:hAnsi="Times New Roman" w:eastAsia="宋体" w:cs="Times New Roman"/>
                <w:b/>
                <w:bCs/>
                <w:color w:val="auto"/>
                <w:spacing w:val="0"/>
                <w:position w:val="0"/>
                <w:sz w:val="21"/>
                <w:szCs w:val="21"/>
                <w:lang w:val="en-US" w:eastAsia="zh-CN"/>
              </w:rPr>
              <w:t>关于公布《新疆生产建设兵团第七师胡杨河生态环境分区管控更新成果</w:t>
            </w:r>
            <w:r>
              <w:rPr>
                <w:rFonts w:hint="eastAsia" w:ascii="Times New Roman" w:hAnsi="Times New Roman" w:eastAsia="宋体" w:cs="Times New Roman"/>
                <w:b/>
                <w:bCs/>
                <w:color w:val="auto"/>
                <w:spacing w:val="0"/>
                <w:position w:val="0"/>
                <w:sz w:val="21"/>
                <w:szCs w:val="21"/>
                <w:lang w:val="en-US" w:eastAsia="zh-CN"/>
              </w:rPr>
              <w:t>〔</w:t>
            </w:r>
            <w:r>
              <w:rPr>
                <w:rFonts w:hint="default" w:ascii="Times New Roman" w:hAnsi="Times New Roman" w:eastAsia="宋体" w:cs="Times New Roman"/>
                <w:b/>
                <w:bCs/>
                <w:color w:val="auto"/>
                <w:spacing w:val="0"/>
                <w:position w:val="0"/>
                <w:sz w:val="21"/>
                <w:szCs w:val="21"/>
                <w:lang w:val="en-US" w:eastAsia="zh-CN"/>
              </w:rPr>
              <w:t>2023版</w:t>
            </w:r>
            <w:r>
              <w:rPr>
                <w:rFonts w:hint="eastAsia" w:ascii="Times New Roman" w:hAnsi="Times New Roman" w:eastAsia="宋体" w:cs="Times New Roman"/>
                <w:b/>
                <w:bCs/>
                <w:color w:val="auto"/>
                <w:spacing w:val="0"/>
                <w:position w:val="0"/>
                <w:sz w:val="21"/>
                <w:szCs w:val="21"/>
                <w:lang w:val="en-US" w:eastAsia="zh-CN"/>
              </w:rPr>
              <w:t>）</w:t>
            </w:r>
            <w:r>
              <w:rPr>
                <w:rFonts w:hint="default" w:ascii="Times New Roman" w:hAnsi="Times New Roman" w:eastAsia="宋体" w:cs="Times New Roman"/>
                <w:b/>
                <w:bCs/>
                <w:color w:val="auto"/>
                <w:spacing w:val="0"/>
                <w:position w:val="0"/>
                <w:sz w:val="21"/>
                <w:szCs w:val="21"/>
                <w:lang w:val="en-US" w:eastAsia="zh-CN"/>
              </w:rPr>
              <w:t>》</w:t>
            </w:r>
            <w:r>
              <w:rPr>
                <w:rFonts w:hint="eastAsia" w:ascii="Times New Roman" w:hAnsi="Times New Roman" w:eastAsia="宋体" w:cs="Times New Roman"/>
                <w:b/>
                <w:bCs/>
                <w:color w:val="auto"/>
                <w:spacing w:val="0"/>
                <w:position w:val="0"/>
                <w:sz w:val="21"/>
                <w:szCs w:val="21"/>
                <w:lang w:val="en-US" w:eastAsia="zh-CN"/>
              </w:rPr>
              <w:t>）</w:t>
            </w:r>
            <w:r>
              <w:rPr>
                <w:rFonts w:ascii="Times New Roman" w:hAnsi="Times New Roman" w:eastAsia="宋体" w:cs="Times New Roman"/>
                <w:b/>
                <w:bCs/>
                <w:color w:val="auto"/>
                <w:spacing w:val="0"/>
                <w:position w:val="0"/>
                <w:sz w:val="21"/>
                <w:szCs w:val="21"/>
              </w:rPr>
              <w:t>符</w:t>
            </w:r>
            <w:r>
              <w:rPr>
                <w:b/>
                <w:bCs/>
                <w:color w:val="auto"/>
                <w:spacing w:val="0"/>
                <w:position w:val="0"/>
                <w:sz w:val="21"/>
                <w:szCs w:val="21"/>
              </w:rPr>
              <w:t>合性分析</w:t>
            </w:r>
          </w:p>
          <w:p w14:paraId="41504440">
            <w:pPr>
              <w:keepLines w:val="0"/>
              <w:pageBreakBefore w:val="0"/>
              <w:kinsoku/>
              <w:wordWrap/>
              <w:topLinePunct w:val="0"/>
              <w:bidi w:val="0"/>
              <w:spacing w:line="360" w:lineRule="auto"/>
              <w:ind w:firstLine="560"/>
              <w:textAlignment w:val="auto"/>
              <w:rPr>
                <w:color w:val="auto"/>
                <w:spacing w:val="0"/>
                <w:position w:val="0"/>
                <w:sz w:val="21"/>
                <w:szCs w:val="21"/>
              </w:rPr>
            </w:pPr>
            <w:r>
              <w:rPr>
                <w:color w:val="auto"/>
                <w:spacing w:val="0"/>
                <w:position w:val="0"/>
                <w:sz w:val="21"/>
                <w:szCs w:val="21"/>
              </w:rPr>
              <w:t>本项目位于</w:t>
            </w:r>
            <w:r>
              <w:rPr>
                <w:rFonts w:hint="eastAsia" w:ascii="Times New Roman" w:hAnsi="Times New Roman" w:cs="Times New Roman"/>
                <w:b w:val="0"/>
                <w:bCs/>
                <w:color w:val="auto"/>
                <w:spacing w:val="0"/>
                <w:position w:val="0"/>
                <w:sz w:val="21"/>
                <w:szCs w:val="21"/>
                <w:lang w:val="en-US" w:eastAsia="zh-CN"/>
              </w:rPr>
              <w:t>第七师北经济技术开发区（北区）支一路401号</w:t>
            </w:r>
            <w:r>
              <w:rPr>
                <w:color w:val="auto"/>
                <w:spacing w:val="0"/>
                <w:position w:val="0"/>
                <w:sz w:val="21"/>
                <w:szCs w:val="21"/>
              </w:rPr>
              <w:t>。对照《市场准入负面清单（2022年版）》</w:t>
            </w:r>
            <w:r>
              <w:rPr>
                <w:rFonts w:hint="eastAsia"/>
                <w:color w:val="auto"/>
                <w:spacing w:val="0"/>
                <w:position w:val="0"/>
                <w:sz w:val="21"/>
                <w:szCs w:val="21"/>
              </w:rPr>
              <w:t>（</w:t>
            </w:r>
            <w:r>
              <w:rPr>
                <w:color w:val="auto"/>
                <w:spacing w:val="0"/>
                <w:position w:val="0"/>
                <w:sz w:val="21"/>
                <w:szCs w:val="21"/>
              </w:rPr>
              <w:t>发改体改规〔2022〕397号</w:t>
            </w:r>
            <w:r>
              <w:rPr>
                <w:rFonts w:hint="eastAsia"/>
                <w:color w:val="auto"/>
                <w:spacing w:val="0"/>
                <w:position w:val="0"/>
                <w:sz w:val="21"/>
                <w:szCs w:val="21"/>
              </w:rPr>
              <w:t>）</w:t>
            </w:r>
            <w:r>
              <w:rPr>
                <w:color w:val="auto"/>
                <w:spacing w:val="0"/>
                <w:position w:val="0"/>
                <w:sz w:val="21"/>
                <w:szCs w:val="21"/>
              </w:rPr>
              <w:t>，本项目不在其禁止准入类中，本项目不属于禁止类项目。因此，符合环境准入负面清单要求。</w:t>
            </w:r>
          </w:p>
          <w:p w14:paraId="5F6D5E0E">
            <w:pPr>
              <w:keepLines w:val="0"/>
              <w:pageBreakBefore w:val="0"/>
              <w:kinsoku/>
              <w:wordWrap/>
              <w:topLinePunct w:val="0"/>
              <w:bidi w:val="0"/>
              <w:spacing w:line="360" w:lineRule="auto"/>
              <w:ind w:firstLine="560"/>
              <w:textAlignment w:val="auto"/>
              <w:rPr>
                <w:rFonts w:hint="eastAsia" w:ascii="Times New Roman" w:hAnsi="Times New Roman" w:eastAsia="宋体" w:cs="Times New Roman"/>
                <w:b w:val="0"/>
                <w:bCs/>
                <w:color w:val="auto"/>
                <w:spacing w:val="0"/>
                <w:position w:val="0"/>
                <w:sz w:val="21"/>
                <w:szCs w:val="21"/>
                <w:lang w:val="en-US" w:eastAsia="zh-CN"/>
              </w:rPr>
            </w:pPr>
            <w:r>
              <w:rPr>
                <w:rFonts w:hint="eastAsia" w:ascii="Times New Roman" w:hAnsi="Times New Roman" w:eastAsia="宋体" w:cs="Times New Roman"/>
                <w:b w:val="0"/>
                <w:bCs/>
                <w:color w:val="auto"/>
                <w:spacing w:val="0"/>
                <w:position w:val="0"/>
                <w:sz w:val="21"/>
                <w:szCs w:val="21"/>
                <w:lang w:val="en-US" w:eastAsia="zh-CN"/>
              </w:rPr>
              <w:t>根据</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w w:val="100"/>
                <w:kern w:val="2"/>
                <w:position w:val="0"/>
                <w:sz w:val="21"/>
                <w:szCs w:val="21"/>
                <w:highlight w:val="none"/>
                <w:lang w:val="en-US" w:eastAsia="zh-CN" w:bidi="ar-SA"/>
              </w:rPr>
              <w:t>关于公布《新疆生产建设兵团第七师胡杨河生态环境分区管控更新成果</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w w:val="100"/>
                <w:kern w:val="2"/>
                <w:position w:val="0"/>
                <w:sz w:val="21"/>
                <w:szCs w:val="21"/>
                <w:highlight w:val="none"/>
                <w:lang w:val="en-US" w:eastAsia="zh-CN" w:bidi="ar-SA"/>
              </w:rPr>
              <w:t>2023版</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w w:val="100"/>
                <w:kern w:val="2"/>
                <w:position w:val="0"/>
                <w:sz w:val="21"/>
                <w:szCs w:val="21"/>
                <w:highlight w:val="none"/>
                <w:lang w:val="en-US" w:eastAsia="zh-CN" w:bidi="ar-SA"/>
              </w:rPr>
              <w:t>》</w:t>
            </w:r>
            <w:r>
              <w:rPr>
                <w:rFonts w:hint="eastAsia"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b w:val="0"/>
                <w:bCs/>
                <w:color w:val="auto"/>
                <w:spacing w:val="0"/>
                <w:position w:val="0"/>
                <w:sz w:val="21"/>
                <w:szCs w:val="21"/>
                <w:lang w:val="en-US" w:eastAsia="zh-CN"/>
              </w:rPr>
              <w:t>，</w:t>
            </w:r>
            <w:r>
              <w:rPr>
                <w:rFonts w:hint="eastAsia" w:cs="Times New Roman"/>
                <w:b w:val="0"/>
                <w:bCs/>
                <w:color w:val="auto"/>
                <w:spacing w:val="0"/>
                <w:position w:val="0"/>
                <w:sz w:val="21"/>
                <w:szCs w:val="21"/>
                <w:lang w:val="en-US" w:eastAsia="zh-CN"/>
              </w:rPr>
              <w:t>属于重点管控单元，</w:t>
            </w:r>
            <w:r>
              <w:rPr>
                <w:rFonts w:hint="eastAsia" w:ascii="Times New Roman" w:hAnsi="Times New Roman" w:eastAsia="宋体" w:cs="Times New Roman"/>
                <w:b w:val="0"/>
                <w:bCs/>
                <w:color w:val="auto"/>
                <w:spacing w:val="0"/>
                <w:position w:val="0"/>
                <w:sz w:val="21"/>
                <w:szCs w:val="21"/>
                <w:lang w:val="en-US" w:eastAsia="zh-CN"/>
              </w:rPr>
              <w:t>管控单元名称：</w:t>
            </w:r>
            <w:r>
              <w:rPr>
                <w:rFonts w:hint="default" w:ascii="Times New Roman" w:hAnsi="Times New Roman" w:eastAsia="宋体" w:cs="Times New Roman"/>
                <w:b w:val="0"/>
                <w:bCs/>
                <w:color w:val="auto"/>
                <w:spacing w:val="0"/>
                <w:position w:val="0"/>
                <w:sz w:val="21"/>
                <w:szCs w:val="21"/>
                <w:lang w:val="en-US" w:eastAsia="zh-CN"/>
              </w:rPr>
              <w:t>天北经济技术开发区</w:t>
            </w:r>
            <w:r>
              <w:rPr>
                <w:rFonts w:hint="eastAsia" w:ascii="Times New Roman" w:hAnsi="Times New Roman" w:eastAsia="宋体" w:cs="Times New Roman"/>
                <w:b w:val="0"/>
                <w:bCs/>
                <w:color w:val="auto"/>
                <w:spacing w:val="0"/>
                <w:position w:val="0"/>
                <w:sz w:val="21"/>
                <w:szCs w:val="21"/>
                <w:lang w:val="en-US" w:eastAsia="zh-CN"/>
              </w:rPr>
              <w:t>，单元编号：ZH6577122000</w:t>
            </w:r>
            <w:r>
              <w:rPr>
                <w:rFonts w:hint="eastAsia" w:cs="Times New Roman"/>
                <w:b w:val="0"/>
                <w:bCs/>
                <w:color w:val="auto"/>
                <w:spacing w:val="0"/>
                <w:position w:val="0"/>
                <w:sz w:val="21"/>
                <w:szCs w:val="21"/>
                <w:lang w:val="en-US" w:eastAsia="zh-CN"/>
              </w:rPr>
              <w:t>2</w:t>
            </w:r>
            <w:r>
              <w:rPr>
                <w:rFonts w:hint="eastAsia" w:ascii="Times New Roman" w:hAnsi="Times New Roman" w:eastAsia="宋体" w:cs="Times New Roman"/>
                <w:b w:val="0"/>
                <w:bCs/>
                <w:color w:val="auto"/>
                <w:spacing w:val="0"/>
                <w:position w:val="0"/>
                <w:sz w:val="21"/>
                <w:szCs w:val="21"/>
                <w:lang w:val="en-US" w:eastAsia="zh-CN"/>
              </w:rPr>
              <w:t>。具体管控要求见下表。</w:t>
            </w:r>
          </w:p>
          <w:p w14:paraId="136CC88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0"/>
                <w:position w:val="0"/>
                <w:sz w:val="21"/>
                <w:szCs w:val="21"/>
              </w:rPr>
            </w:pPr>
            <w:r>
              <w:rPr>
                <w:rFonts w:hint="default" w:ascii="Times New Roman" w:hAnsi="Times New Roman" w:eastAsia="宋体" w:cs="Times New Roman"/>
                <w:b/>
                <w:color w:val="auto"/>
                <w:spacing w:val="0"/>
                <w:position w:val="0"/>
                <w:sz w:val="21"/>
                <w:szCs w:val="21"/>
              </w:rPr>
              <w:t>表1</w:t>
            </w:r>
            <w:r>
              <w:rPr>
                <w:rFonts w:hint="eastAsia" w:ascii="Times New Roman" w:hAnsi="Times New Roman" w:eastAsia="宋体" w:cs="Times New Roman"/>
                <w:b/>
                <w:color w:val="auto"/>
                <w:spacing w:val="0"/>
                <w:position w:val="0"/>
                <w:sz w:val="21"/>
                <w:szCs w:val="21"/>
                <w:lang w:val="en-US" w:eastAsia="zh-CN"/>
              </w:rPr>
              <w:t>-</w:t>
            </w:r>
            <w:r>
              <w:rPr>
                <w:rFonts w:hint="eastAsia" w:cs="Times New Roman"/>
                <w:b/>
                <w:color w:val="auto"/>
                <w:spacing w:val="0"/>
                <w:position w:val="0"/>
                <w:sz w:val="21"/>
                <w:szCs w:val="21"/>
                <w:lang w:val="en-US" w:eastAsia="zh-CN"/>
              </w:rPr>
              <w:t>3</w:t>
            </w:r>
            <w:r>
              <w:rPr>
                <w:rFonts w:hint="eastAsia" w:ascii="Times New Roman" w:hAnsi="Times New Roman" w:eastAsia="宋体" w:cs="Times New Roman"/>
                <w:b/>
                <w:color w:val="auto"/>
                <w:spacing w:val="0"/>
                <w:position w:val="0"/>
                <w:sz w:val="21"/>
                <w:szCs w:val="21"/>
              </w:rPr>
              <w:t xml:space="preserve"> </w:t>
            </w:r>
            <w:r>
              <w:rPr>
                <w:rFonts w:hint="default" w:ascii="Times New Roman" w:hAnsi="Times New Roman" w:eastAsia="宋体" w:cs="Times New Roman"/>
                <w:b/>
                <w:color w:val="auto"/>
                <w:spacing w:val="0"/>
                <w:position w:val="0"/>
                <w:sz w:val="21"/>
                <w:szCs w:val="21"/>
              </w:rPr>
              <w:t xml:space="preserve"> 生态环境管控方案及生态环境准入清单符合性分析一览表</w:t>
            </w:r>
          </w:p>
          <w:tbl>
            <w:tblPr>
              <w:tblStyle w:val="30"/>
              <w:tblW w:w="4999"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6"/>
              <w:gridCol w:w="3716"/>
              <w:gridCol w:w="2498"/>
              <w:gridCol w:w="240"/>
            </w:tblGrid>
            <w:tr w14:paraId="74B0C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89" w:type="pct"/>
                  <w:tcBorders>
                    <w:tl2br w:val="nil"/>
                    <w:tr2bl w:val="nil"/>
                  </w:tcBorders>
                  <w:vAlign w:val="center"/>
                </w:tcPr>
                <w:p w14:paraId="56BFDF24">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管控类别</w:t>
                  </w:r>
                </w:p>
              </w:tc>
              <w:tc>
                <w:tcPr>
                  <w:tcW w:w="2712" w:type="pct"/>
                  <w:tcBorders>
                    <w:tl2br w:val="nil"/>
                    <w:tr2bl w:val="nil"/>
                  </w:tcBorders>
                  <w:vAlign w:val="center"/>
                </w:tcPr>
                <w:p w14:paraId="4AC26085">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总体管控要求</w:t>
                  </w:r>
                </w:p>
              </w:tc>
              <w:tc>
                <w:tcPr>
                  <w:tcW w:w="1823" w:type="pct"/>
                  <w:tcBorders>
                    <w:tl2br w:val="nil"/>
                    <w:tr2bl w:val="nil"/>
                  </w:tcBorders>
                  <w:vAlign w:val="center"/>
                </w:tcPr>
                <w:p w14:paraId="69FD3033">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本项目</w:t>
                  </w:r>
                </w:p>
              </w:tc>
              <w:tc>
                <w:tcPr>
                  <w:tcW w:w="175" w:type="pct"/>
                  <w:tcBorders>
                    <w:tl2br w:val="nil"/>
                    <w:tr2bl w:val="nil"/>
                  </w:tcBorders>
                  <w:vAlign w:val="center"/>
                </w:tcPr>
                <w:p w14:paraId="74C84BAC">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符合性</w:t>
                  </w:r>
                </w:p>
              </w:tc>
            </w:tr>
            <w:tr w14:paraId="7B4F0A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289" w:type="pct"/>
                  <w:tcBorders>
                    <w:tl2br w:val="nil"/>
                    <w:tr2bl w:val="nil"/>
                  </w:tcBorders>
                  <w:vAlign w:val="center"/>
                </w:tcPr>
                <w:p w14:paraId="16034BB6">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空间布局约束</w:t>
                  </w:r>
                </w:p>
              </w:tc>
              <w:tc>
                <w:tcPr>
                  <w:tcW w:w="2712" w:type="pct"/>
                  <w:tcBorders>
                    <w:tl2br w:val="nil"/>
                    <w:tr2bl w:val="nil"/>
                  </w:tcBorders>
                </w:tcPr>
                <w:p w14:paraId="6B8F4DCC">
                  <w:pPr>
                    <w:autoSpaceDE w:val="0"/>
                    <w:autoSpaceDN w:val="0"/>
                    <w:adjustRightInd w:val="0"/>
                    <w:snapToGrid w:val="0"/>
                    <w:spacing w:line="240" w:lineRule="auto"/>
                    <w:ind w:firstLine="0" w:firstLineChars="0"/>
                    <w:rPr>
                      <w:color w:val="auto"/>
                      <w:spacing w:val="0"/>
                      <w:position w:val="0"/>
                      <w:sz w:val="21"/>
                      <w:szCs w:val="21"/>
                    </w:rPr>
                  </w:pPr>
                  <w:r>
                    <w:rPr>
                      <w:rFonts w:ascii="Times New Roman" w:hAnsi="Times New Roman" w:eastAsia="宋体" w:cs="Times New Roman"/>
                      <w:color w:val="auto"/>
                      <w:spacing w:val="0"/>
                      <w:position w:val="0"/>
                      <w:sz w:val="21"/>
                      <w:szCs w:val="21"/>
                    </w:rPr>
                    <w:t>（1）园区主导产业是：农副产品加工业、现代服务业、新材料为主导产业，其中，行政区</w:t>
                  </w:r>
                  <w:r>
                    <w:rPr>
                      <w:rFonts w:hint="eastAsia" w:ascii="宋体" w:hAnsi="宋体" w:cs="宋体"/>
                      <w:color w:val="auto"/>
                      <w:spacing w:val="0"/>
                      <w:position w:val="0"/>
                      <w:sz w:val="21"/>
                      <w:szCs w:val="21"/>
                      <w:lang w:eastAsia="zh-CN"/>
                    </w:rPr>
                    <w:t>（</w:t>
                  </w:r>
                  <w:r>
                    <w:rPr>
                      <w:rFonts w:hint="eastAsia" w:ascii="宋体" w:hAnsi="宋体" w:eastAsia="宋体" w:cs="宋体"/>
                      <w:color w:val="auto"/>
                      <w:spacing w:val="0"/>
                      <w:position w:val="0"/>
                      <w:sz w:val="21"/>
                      <w:szCs w:val="21"/>
                    </w:rPr>
                    <w:t>城区</w:t>
                  </w:r>
                  <w:r>
                    <w:rPr>
                      <w:rFonts w:hint="eastAsia" w:ascii="宋体" w:hAnsi="宋体" w:cs="宋体"/>
                      <w:color w:val="auto"/>
                      <w:spacing w:val="0"/>
                      <w:position w:val="0"/>
                      <w:sz w:val="21"/>
                      <w:szCs w:val="21"/>
                      <w:lang w:eastAsia="zh-CN"/>
                    </w:rPr>
                    <w:t>）</w:t>
                  </w:r>
                  <w:r>
                    <w:rPr>
                      <w:rFonts w:ascii="Times New Roman" w:hAnsi="Times New Roman" w:eastAsia="宋体" w:cs="Times New Roman"/>
                      <w:color w:val="auto"/>
                      <w:spacing w:val="0"/>
                      <w:position w:val="0"/>
                      <w:sz w:val="21"/>
                      <w:szCs w:val="21"/>
                    </w:rPr>
                    <w:t>规划重点发展现代服务业，包括社会服务业、旅游服务业、生产、生活等服务业；行政区南工业区规划重点发展农副产品加工、现代物流产业、新材料；开发区北工业园区规划以农副产品加工产业为主，建材及机械装备制造业、节能环保及电子仪器制造、建材、物流仓储为辅助产业，园区以主导产业及其下游产业链为主要方向发展产业。（1.1）鼓励类：（1.1.1）大力发展精制食用植物油、面粉加工、畜禽肉制品加工、特色林果加工、饲料加工、生物发酵、乳制品、葡萄酒、饮料等农副产品加工业，积极发展玫瑰花、薰衣草，万寿菊、色素辣椒、沙棘等特色植物提取加工业，加快推广新型非热加工、新型杀菌、高效分离、节能干燥等新工艺新技术；加快推进秸秆、油料饼粕、果蔬皮渣、畜禽皮毛骨血等副产物综合利用，开发新材料产品；依托旅游产业大力发展民族特色手工艺品加工。围绕交通运输、轻工纺织、化学建材、电子信息产业等行业积极开发新材料。（1.1.2）鼓励具有先进的、科学的环境管理水平的，符合园区产业定位的企业，即园区产业定位所包括的、国家产业政策及相关规划鼓励类的行业入区。（1.2）禁止类：（1.2.1）对于不符合开发区产业定位、污染物排放量较大、采用落后的生产工艺或生产设备，不符合国家相关产业政策，生产方式落后、高水耗、高物耗、高能耗、严重浪费资源，污染严重、破坏自然生态的项目严禁入园。（1.2.2）废水含难降解的有机物、</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三致</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污染物、重金属等物质含量高及盐分含量较高的项目；废水经预处理达不到污水处理厂接纳标准的项目；工艺废气中含有难处理的、有毒有害物质的项目严禁入园。（1.3）优化开发区产业结构和布局，坚持绿色发展。坚持以环境质量改善为核心，遵循环保优先和绿色发展原则，结合区域实际及上位规划，依据所在产业区块功能及环保要求，确保产业区块的完整性和延续性，按照新兵函〔2020〕24号文件批复的主导产业，合理确定开发区产业结构、功能分区。结合环境管理要求，开发区适宜以一类、二类工业的轻型工业为主导产业。开发区北工业园区新增新材料产业和环保循环产业布局，新材料产业以铝基电子材料、铝基复合材料、有机高分子材料产业为发展方向。行政区南工业区西南侧建议调整为生活服务区，东北侧104公顷居住用地应以工业园区生产服务性配套设施为主，南工业区与城区设置绿化隔离廊道。（1.4）严格按照规划产业布局入驻企业，结合区域发展定位、开发布局、生态环境保护目标，实行入区企业环保准入审核制度，不符合产业政策、行业准入条件、生态环境准入清单及自治区党委明令禁止的</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三高</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项目一律不得入驻开发区。引进项目的生产工艺、设备、污染治理技术，以及单位产品能耗、物耗、污染物排放和资源利用率均需达到同行业清洁生产国内先进水平，积极推进产业的技术进步和开发区循环化改造，构建绿色、低碳开发区。开发区水资源利用不得突破《新疆用水总量控制方案》确定的胡杨河市水资源利用上线指标，土地资源利用不得突破胡杨河市国土空间规划确定的新增建设用地规模。</w:t>
                  </w:r>
                </w:p>
              </w:tc>
              <w:tc>
                <w:tcPr>
                  <w:tcW w:w="1823" w:type="pct"/>
                  <w:tcBorders>
                    <w:tl2br w:val="nil"/>
                    <w:tr2bl w:val="nil"/>
                  </w:tcBorders>
                </w:tcPr>
                <w:p w14:paraId="3A15B8B2">
                  <w:pPr>
                    <w:autoSpaceDE w:val="0"/>
                    <w:autoSpaceDN w:val="0"/>
                    <w:adjustRightInd w:val="0"/>
                    <w:snapToGrid w:val="0"/>
                    <w:spacing w:line="240" w:lineRule="auto"/>
                    <w:ind w:firstLine="0" w:firstLineChars="0"/>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本项目为管件制造项目，属于建材制造项目，符合园区的发展定位“</w:t>
                  </w:r>
                  <w:r>
                    <w:rPr>
                      <w:rFonts w:ascii="Times New Roman" w:hAnsi="Times New Roman" w:eastAsia="宋体" w:cs="Times New Roman"/>
                      <w:color w:val="auto"/>
                      <w:spacing w:val="0"/>
                      <w:position w:val="0"/>
                      <w:sz w:val="21"/>
                      <w:szCs w:val="21"/>
                    </w:rPr>
                    <w:t>建材及机械装备制造业</w:t>
                  </w:r>
                  <w:r>
                    <w:rPr>
                      <w:rFonts w:hint="eastAsia"/>
                      <w:color w:val="auto"/>
                      <w:spacing w:val="0"/>
                      <w:position w:val="0"/>
                      <w:sz w:val="21"/>
                      <w:szCs w:val="21"/>
                      <w:lang w:val="en-US" w:eastAsia="zh-CN"/>
                    </w:rPr>
                    <w:t>”。同时本项目生产仅使用循环冷却水，一年生产结束后排入园区污水管网，厂区员工产生的生活废水排入厂区内化粪池，处理后排入园区污水管网由天北经开区污水处理厂处理。项目用水量不高，用电量不高，本项目产污工序均已提出治理措施，污染物均可达标排放，本项目不属于</w:t>
                  </w:r>
                  <w:r>
                    <w:rPr>
                      <w:rFonts w:ascii="Times New Roman" w:hAnsi="Times New Roman" w:eastAsia="宋体" w:cs="Times New Roman"/>
                      <w:color w:val="auto"/>
                      <w:spacing w:val="0"/>
                      <w:position w:val="0"/>
                      <w:sz w:val="21"/>
                      <w:szCs w:val="21"/>
                    </w:rPr>
                    <w:t>自治区党委明令禁止的</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三高</w:t>
                  </w:r>
                  <w:r>
                    <w:rPr>
                      <w:rFonts w:hint="eastAsia" w:cs="Times New Roman"/>
                      <w:color w:val="auto"/>
                      <w:spacing w:val="0"/>
                      <w:position w:val="0"/>
                      <w:sz w:val="21"/>
                      <w:szCs w:val="21"/>
                      <w:lang w:eastAsia="zh-CN"/>
                    </w:rPr>
                    <w:t>”</w:t>
                  </w:r>
                  <w:r>
                    <w:rPr>
                      <w:rFonts w:ascii="Times New Roman" w:hAnsi="Times New Roman" w:eastAsia="宋体" w:cs="Times New Roman"/>
                      <w:color w:val="auto"/>
                      <w:spacing w:val="0"/>
                      <w:position w:val="0"/>
                      <w:sz w:val="21"/>
                      <w:szCs w:val="21"/>
                    </w:rPr>
                    <w:t>项目</w:t>
                  </w:r>
                  <w:r>
                    <w:rPr>
                      <w:rFonts w:hint="eastAsia" w:cs="Times New Roman"/>
                      <w:color w:val="auto"/>
                      <w:spacing w:val="0"/>
                      <w:position w:val="0"/>
                      <w:sz w:val="21"/>
                      <w:szCs w:val="21"/>
                      <w:lang w:eastAsia="zh-CN"/>
                    </w:rPr>
                    <w:t>。</w:t>
                  </w:r>
                  <w:r>
                    <w:rPr>
                      <w:rFonts w:hint="eastAsia" w:cs="Times New Roman"/>
                      <w:color w:val="auto"/>
                      <w:spacing w:val="0"/>
                      <w:position w:val="0"/>
                      <w:sz w:val="21"/>
                      <w:szCs w:val="21"/>
                      <w:lang w:val="en-US" w:eastAsia="zh-CN"/>
                    </w:rPr>
                    <w:t>项目严格按照产业布局入驻。</w:t>
                  </w:r>
                </w:p>
              </w:tc>
              <w:tc>
                <w:tcPr>
                  <w:tcW w:w="175" w:type="pct"/>
                  <w:tcBorders>
                    <w:tl2br w:val="nil"/>
                    <w:tr2bl w:val="nil"/>
                  </w:tcBorders>
                  <w:vAlign w:val="center"/>
                </w:tcPr>
                <w:p w14:paraId="09C3960D">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符合</w:t>
                  </w:r>
                </w:p>
              </w:tc>
            </w:tr>
            <w:tr w14:paraId="6E889D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9" w:type="pct"/>
                  <w:tcBorders>
                    <w:tl2br w:val="nil"/>
                    <w:tr2bl w:val="nil"/>
                  </w:tcBorders>
                  <w:vAlign w:val="center"/>
                </w:tcPr>
                <w:p w14:paraId="51CB35B9">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污染物排放管控</w:t>
                  </w:r>
                </w:p>
              </w:tc>
              <w:tc>
                <w:tcPr>
                  <w:tcW w:w="2712" w:type="pct"/>
                  <w:tcBorders>
                    <w:tl2br w:val="nil"/>
                    <w:tr2bl w:val="nil"/>
                  </w:tcBorders>
                </w:tcPr>
                <w:p w14:paraId="61AD81E5">
                  <w:pPr>
                    <w:autoSpaceDE w:val="0"/>
                    <w:autoSpaceDN w:val="0"/>
                    <w:adjustRightInd w:val="0"/>
                    <w:snapToGrid w:val="0"/>
                    <w:spacing w:line="240" w:lineRule="auto"/>
                    <w:ind w:firstLine="0" w:firstLineChars="0"/>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2）执行《天北经济技术开发区总体规划（2021-2035年）环境影响报告书》要求。（2.1）对工业垃圾等严重污染环境的物质由生产单位进行无害化处理后，由生产单位运至有资质单位处理。（2.2）天北经济技术开发区位于</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奎独乌</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联防联控区，南工业园区、北工业园区入园企业应执行大气污染物特别排放限值要求。</w:t>
                  </w:r>
                </w:p>
              </w:tc>
              <w:tc>
                <w:tcPr>
                  <w:tcW w:w="1823" w:type="pct"/>
                  <w:tcBorders>
                    <w:tl2br w:val="nil"/>
                    <w:tr2bl w:val="nil"/>
                  </w:tcBorders>
                </w:tcPr>
                <w:p w14:paraId="3C2356ED">
                  <w:pPr>
                    <w:autoSpaceDE w:val="0"/>
                    <w:autoSpaceDN w:val="0"/>
                    <w:adjustRightInd w:val="0"/>
                    <w:snapToGrid w:val="0"/>
                    <w:spacing w:line="240" w:lineRule="auto"/>
                    <w:ind w:firstLine="0" w:firstLineChars="0"/>
                    <w:rPr>
                      <w:rFonts w:hint="default" w:eastAsia="宋体"/>
                      <w:color w:val="auto"/>
                      <w:spacing w:val="0"/>
                      <w:position w:val="0"/>
                      <w:sz w:val="21"/>
                      <w:szCs w:val="21"/>
                      <w:lang w:val="en-US" w:eastAsia="zh-CN"/>
                    </w:rPr>
                  </w:pPr>
                  <w:r>
                    <w:rPr>
                      <w:color w:val="auto"/>
                      <w:spacing w:val="0"/>
                      <w:position w:val="0"/>
                      <w:sz w:val="21"/>
                      <w:szCs w:val="21"/>
                    </w:rPr>
                    <w:t>本项目运营期排放的大气污染物严格控制排放量</w:t>
                  </w:r>
                  <w:r>
                    <w:rPr>
                      <w:rFonts w:hint="eastAsia"/>
                      <w:color w:val="auto"/>
                      <w:spacing w:val="0"/>
                      <w:position w:val="0"/>
                      <w:sz w:val="21"/>
                      <w:szCs w:val="21"/>
                      <w:lang w:val="en-US" w:eastAsia="zh-CN"/>
                    </w:rPr>
                    <w:t>环保措施产生的废催化剂、废活性炭用独立包装袋包装好，废矿物油由新桶储存，存放于危废暂存间，委托有资质的单位处理，一般</w:t>
                  </w:r>
                  <w:r>
                    <w:rPr>
                      <w:rFonts w:hint="eastAsia"/>
                      <w:color w:val="auto"/>
                      <w:spacing w:val="0"/>
                      <w:position w:val="0"/>
                      <w:sz w:val="21"/>
                      <w:szCs w:val="21"/>
                    </w:rPr>
                    <w:t>固废由</w:t>
                  </w:r>
                  <w:r>
                    <w:rPr>
                      <w:rFonts w:hint="eastAsia"/>
                      <w:color w:val="auto"/>
                      <w:spacing w:val="0"/>
                      <w:position w:val="0"/>
                      <w:sz w:val="21"/>
                      <w:szCs w:val="21"/>
                      <w:lang w:val="en-US" w:eastAsia="zh-CN"/>
                    </w:rPr>
                    <w:t>环卫部门</w:t>
                  </w:r>
                  <w:r>
                    <w:rPr>
                      <w:rFonts w:hint="eastAsia"/>
                      <w:color w:val="auto"/>
                      <w:spacing w:val="0"/>
                      <w:position w:val="0"/>
                      <w:sz w:val="21"/>
                      <w:szCs w:val="21"/>
                    </w:rPr>
                    <w:t>定期清运。</w:t>
                  </w:r>
                  <w:r>
                    <w:rPr>
                      <w:rFonts w:hint="eastAsia"/>
                      <w:color w:val="auto"/>
                      <w:spacing w:val="0"/>
                      <w:position w:val="0"/>
                      <w:sz w:val="21"/>
                      <w:szCs w:val="21"/>
                      <w:lang w:val="en-US" w:eastAsia="zh-CN"/>
                    </w:rPr>
                    <w:t>本项目非甲烷总烃需要执行</w:t>
                  </w:r>
                  <w:r>
                    <w:rPr>
                      <w:rFonts w:hint="default" w:ascii="Times New Roman" w:hAnsi="Times New Roman" w:eastAsia="宋体" w:cs="Times New Roman"/>
                      <w:color w:val="auto"/>
                      <w:spacing w:val="0"/>
                      <w:position w:val="0"/>
                      <w:sz w:val="21"/>
                      <w:szCs w:val="21"/>
                      <w:lang w:val="en-US" w:eastAsia="zh-CN"/>
                    </w:rPr>
                    <w:t>《挥发性有机物无组织排放控制标准》（GB37822—2019）厂区内VOCs无组织特别排放监控要求</w:t>
                  </w:r>
                  <w:r>
                    <w:rPr>
                      <w:rFonts w:hint="eastAsia" w:cs="Times New Roman"/>
                      <w:color w:val="auto"/>
                      <w:spacing w:val="0"/>
                      <w:position w:val="0"/>
                      <w:sz w:val="21"/>
                      <w:szCs w:val="21"/>
                      <w:lang w:val="en-US" w:eastAsia="zh-CN"/>
                    </w:rPr>
                    <w:t>。</w:t>
                  </w:r>
                </w:p>
              </w:tc>
              <w:tc>
                <w:tcPr>
                  <w:tcW w:w="175" w:type="pct"/>
                  <w:tcBorders>
                    <w:tl2br w:val="nil"/>
                    <w:tr2bl w:val="nil"/>
                  </w:tcBorders>
                  <w:vAlign w:val="center"/>
                </w:tcPr>
                <w:p w14:paraId="38CB75E2">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符合</w:t>
                  </w:r>
                </w:p>
              </w:tc>
            </w:tr>
            <w:tr w14:paraId="79C81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289" w:type="pct"/>
                  <w:tcBorders>
                    <w:tl2br w:val="nil"/>
                    <w:tr2bl w:val="nil"/>
                  </w:tcBorders>
                  <w:vAlign w:val="center"/>
                </w:tcPr>
                <w:p w14:paraId="078811D3">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环境风险防控</w:t>
                  </w:r>
                </w:p>
              </w:tc>
              <w:tc>
                <w:tcPr>
                  <w:tcW w:w="2712" w:type="pct"/>
                  <w:tcBorders>
                    <w:tl2br w:val="nil"/>
                    <w:tr2bl w:val="nil"/>
                  </w:tcBorders>
                </w:tcPr>
                <w:p w14:paraId="3FB57DE4">
                  <w:pPr>
                    <w:autoSpaceDE w:val="0"/>
                    <w:autoSpaceDN w:val="0"/>
                    <w:adjustRightInd w:val="0"/>
                    <w:snapToGrid w:val="0"/>
                    <w:spacing w:line="240" w:lineRule="auto"/>
                    <w:ind w:firstLine="0" w:firstLineChars="0"/>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3）执行《天北经济技术开发区总体规划（2021-2035年）环境影响报告书》要求。（3.1）强化开发区环境风险管理，强化应急响应联动机制，保障城市人居环境安全和生态环境安全。配备应急物资，定期开展应急演习，不断完善环境风险应急预案，防控开发区储运中可能引发的环境风险。（3.2）各企业应按照《大气有害物质无组织排放卫生防护距离推导技术导则》（GB/T39499-2020）核定企业卫生防护距离，根据其环境影响评价文件的要求设置相应的大气环境防护距离，在大气环境防护距离和卫生防护距离内不应有长期居住的人群。</w:t>
                  </w:r>
                </w:p>
              </w:tc>
              <w:tc>
                <w:tcPr>
                  <w:tcW w:w="1823" w:type="pct"/>
                  <w:tcBorders>
                    <w:tl2br w:val="nil"/>
                    <w:tr2bl w:val="nil"/>
                  </w:tcBorders>
                </w:tcPr>
                <w:p w14:paraId="5D1B7B99">
                  <w:pPr>
                    <w:autoSpaceDE w:val="0"/>
                    <w:autoSpaceDN w:val="0"/>
                    <w:adjustRightInd w:val="0"/>
                    <w:snapToGrid w:val="0"/>
                    <w:spacing w:line="240" w:lineRule="auto"/>
                    <w:ind w:firstLine="0" w:firstLineChars="0"/>
                    <w:rPr>
                      <w:rFonts w:hint="default" w:eastAsia="宋体"/>
                      <w:color w:val="0000FF"/>
                      <w:spacing w:val="0"/>
                      <w:position w:val="0"/>
                      <w:sz w:val="21"/>
                      <w:szCs w:val="21"/>
                      <w:lang w:val="en-US" w:eastAsia="zh-CN"/>
                    </w:rPr>
                  </w:pPr>
                  <w:r>
                    <w:rPr>
                      <w:rFonts w:hint="eastAsia"/>
                      <w:color w:val="auto"/>
                      <w:spacing w:val="0"/>
                      <w:position w:val="0"/>
                      <w:sz w:val="21"/>
                      <w:szCs w:val="21"/>
                      <w:lang w:val="en-US" w:eastAsia="zh-CN"/>
                    </w:rPr>
                    <w:t>本项目定期组织应急演习，给周围企业科普本项目相关应急知识，不断完善应急预案。</w:t>
                  </w:r>
                  <w:r>
                    <w:rPr>
                      <w:rFonts w:hint="eastAsia"/>
                      <w:color w:val="auto"/>
                      <w:spacing w:val="0"/>
                      <w:position w:val="0"/>
                      <w:sz w:val="21"/>
                      <w:szCs w:val="21"/>
                    </w:rPr>
                    <w:t>项目</w:t>
                  </w:r>
                  <w:r>
                    <w:rPr>
                      <w:rFonts w:hint="eastAsia"/>
                      <w:color w:val="auto"/>
                      <w:spacing w:val="0"/>
                      <w:position w:val="0"/>
                      <w:sz w:val="21"/>
                      <w:szCs w:val="21"/>
                      <w:lang w:val="en-US" w:eastAsia="zh-CN"/>
                    </w:rPr>
                    <w:t>位于工业园区内，周边没有长期居住的人群。</w:t>
                  </w:r>
                  <w:r>
                    <w:rPr>
                      <w:rFonts w:hint="eastAsia"/>
                      <w:color w:val="auto"/>
                      <w:spacing w:val="0"/>
                      <w:position w:val="0"/>
                      <w:sz w:val="21"/>
                      <w:szCs w:val="21"/>
                    </w:rPr>
                    <w:t>因此本项目符合要求。</w:t>
                  </w:r>
                </w:p>
              </w:tc>
              <w:tc>
                <w:tcPr>
                  <w:tcW w:w="175" w:type="pct"/>
                  <w:tcBorders>
                    <w:tl2br w:val="nil"/>
                    <w:tr2bl w:val="nil"/>
                  </w:tcBorders>
                  <w:vAlign w:val="center"/>
                </w:tcPr>
                <w:p w14:paraId="79BF4EA3">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符合</w:t>
                  </w:r>
                </w:p>
              </w:tc>
            </w:tr>
            <w:tr w14:paraId="5345FF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0" w:hRule="atLeast"/>
              </w:trPr>
              <w:tc>
                <w:tcPr>
                  <w:tcW w:w="289" w:type="pct"/>
                  <w:tcBorders>
                    <w:tl2br w:val="nil"/>
                    <w:tr2bl w:val="nil"/>
                  </w:tcBorders>
                  <w:vAlign w:val="center"/>
                </w:tcPr>
                <w:p w14:paraId="5DA4FC97">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资源利用效率</w:t>
                  </w:r>
                </w:p>
              </w:tc>
              <w:tc>
                <w:tcPr>
                  <w:tcW w:w="2712" w:type="pct"/>
                  <w:tcBorders>
                    <w:tl2br w:val="nil"/>
                    <w:tr2bl w:val="nil"/>
                  </w:tcBorders>
                </w:tcPr>
                <w:p w14:paraId="18C989D0">
                  <w:pPr>
                    <w:autoSpaceDE w:val="0"/>
                    <w:autoSpaceDN w:val="0"/>
                    <w:adjustRightInd w:val="0"/>
                    <w:snapToGrid w:val="0"/>
                    <w:spacing w:line="240" w:lineRule="auto"/>
                    <w:ind w:firstLine="0" w:firstLineChars="0"/>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eastAsia="宋体" w:cs="Times New Roman"/>
                      <w:color w:val="auto"/>
                      <w:spacing w:val="0"/>
                      <w:position w:val="0"/>
                      <w:sz w:val="21"/>
                      <w:szCs w:val="21"/>
                    </w:rPr>
                    <w:t>（4）执行《天北经济技术开发区总体规划（2021-2035年）环境影响报告书》要求</w:t>
                  </w:r>
                  <w:r>
                    <w:rPr>
                      <w:rFonts w:hint="eastAsia" w:ascii="Times New Roman" w:hAnsi="Times New Roman" w:eastAsia="宋体" w:cs="Times New Roman"/>
                      <w:color w:val="auto"/>
                      <w:spacing w:val="0"/>
                      <w:position w:val="0"/>
                      <w:sz w:val="21"/>
                      <w:szCs w:val="21"/>
                      <w:lang w:eastAsia="zh-CN"/>
                    </w:rPr>
                    <w:t>。</w:t>
                  </w:r>
                </w:p>
              </w:tc>
              <w:tc>
                <w:tcPr>
                  <w:tcW w:w="1823" w:type="pct"/>
                  <w:tcBorders>
                    <w:tl2br w:val="nil"/>
                    <w:tr2bl w:val="nil"/>
                  </w:tcBorders>
                </w:tcPr>
                <w:p w14:paraId="5AC98751">
                  <w:pPr>
                    <w:autoSpaceDE w:val="0"/>
                    <w:autoSpaceDN w:val="0"/>
                    <w:adjustRightInd w:val="0"/>
                    <w:snapToGrid w:val="0"/>
                    <w:spacing w:line="240" w:lineRule="auto"/>
                    <w:ind w:firstLine="0" w:firstLineChars="0"/>
                    <w:rPr>
                      <w:rFonts w:hint="default" w:eastAsia="宋体"/>
                      <w:color w:val="auto"/>
                      <w:spacing w:val="0"/>
                      <w:position w:val="0"/>
                      <w:sz w:val="21"/>
                      <w:szCs w:val="21"/>
                      <w:lang w:val="en-US" w:eastAsia="zh-CN"/>
                    </w:rPr>
                  </w:pPr>
                  <w:r>
                    <w:rPr>
                      <w:color w:val="auto"/>
                      <w:spacing w:val="0"/>
                      <w:position w:val="0"/>
                      <w:sz w:val="21"/>
                      <w:szCs w:val="21"/>
                    </w:rPr>
                    <w:t>本项目</w:t>
                  </w:r>
                  <w:r>
                    <w:rPr>
                      <w:rFonts w:hint="eastAsia"/>
                      <w:color w:val="auto"/>
                      <w:spacing w:val="0"/>
                      <w:position w:val="0"/>
                      <w:sz w:val="21"/>
                      <w:szCs w:val="21"/>
                      <w:lang w:val="en-US" w:eastAsia="zh-CN"/>
                    </w:rPr>
                    <w:t>使用的生产设备及环保设备均为高效能设备，属于行业内领先水平，资源利用效率较高。同时本项目生产不用水，电能消耗不大，能源消耗不高。</w:t>
                  </w:r>
                  <w:r>
                    <w:rPr>
                      <w:rFonts w:hint="eastAsia"/>
                      <w:color w:val="auto"/>
                      <w:spacing w:val="0"/>
                      <w:position w:val="0"/>
                      <w:sz w:val="21"/>
                      <w:szCs w:val="21"/>
                    </w:rPr>
                    <w:t>因此本项目符合要求。</w:t>
                  </w:r>
                </w:p>
              </w:tc>
              <w:tc>
                <w:tcPr>
                  <w:tcW w:w="175" w:type="pct"/>
                  <w:tcBorders>
                    <w:tl2br w:val="nil"/>
                    <w:tr2bl w:val="nil"/>
                  </w:tcBorders>
                  <w:vAlign w:val="center"/>
                </w:tcPr>
                <w:p w14:paraId="64D59D84">
                  <w:pPr>
                    <w:autoSpaceDE w:val="0"/>
                    <w:autoSpaceDN w:val="0"/>
                    <w:adjustRightInd w:val="0"/>
                    <w:snapToGrid w:val="0"/>
                    <w:spacing w:line="240" w:lineRule="auto"/>
                    <w:ind w:firstLine="0" w:firstLineChars="0"/>
                    <w:jc w:val="center"/>
                    <w:rPr>
                      <w:color w:val="auto"/>
                      <w:spacing w:val="0"/>
                      <w:position w:val="0"/>
                      <w:sz w:val="21"/>
                      <w:szCs w:val="21"/>
                    </w:rPr>
                  </w:pPr>
                  <w:r>
                    <w:rPr>
                      <w:color w:val="auto"/>
                      <w:spacing w:val="0"/>
                      <w:position w:val="0"/>
                      <w:sz w:val="21"/>
                      <w:szCs w:val="21"/>
                    </w:rPr>
                    <w:t>符合</w:t>
                  </w:r>
                </w:p>
              </w:tc>
            </w:tr>
          </w:tbl>
          <w:p w14:paraId="51309F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textAlignment w:val="auto"/>
              <w:rPr>
                <w:b/>
                <w:bCs/>
                <w:color w:val="auto"/>
                <w:spacing w:val="0"/>
                <w:position w:val="0"/>
                <w:sz w:val="21"/>
                <w:szCs w:val="21"/>
              </w:rPr>
            </w:pPr>
            <w:r>
              <w:rPr>
                <w:rFonts w:hint="eastAsia"/>
                <w:b/>
                <w:bCs/>
                <w:color w:val="auto"/>
                <w:spacing w:val="0"/>
                <w:position w:val="0"/>
                <w:sz w:val="21"/>
                <w:szCs w:val="21"/>
                <w:lang w:val="en-US" w:eastAsia="zh-CN"/>
              </w:rPr>
              <w:t>5</w:t>
            </w:r>
            <w:r>
              <w:rPr>
                <w:b/>
                <w:bCs/>
                <w:color w:val="auto"/>
                <w:spacing w:val="0"/>
                <w:position w:val="0"/>
                <w:sz w:val="21"/>
                <w:szCs w:val="21"/>
              </w:rPr>
              <w:t>生态环境保护法律法规政策符合性</w:t>
            </w:r>
            <w:r>
              <w:rPr>
                <w:rFonts w:hint="eastAsia" w:ascii="Times New Roman" w:hAnsi="Times New Roman" w:eastAsia="宋体"/>
                <w:b/>
                <w:bCs/>
                <w:color w:val="auto"/>
                <w:spacing w:val="0"/>
                <w:position w:val="0"/>
                <w:sz w:val="21"/>
                <w:szCs w:val="21"/>
                <w:lang w:val="en-US" w:eastAsia="zh-CN"/>
              </w:rPr>
              <w:t>分析</w:t>
            </w:r>
          </w:p>
          <w:p w14:paraId="074DE4E1">
            <w:pPr>
              <w:keepNext w:val="0"/>
              <w:keepLines w:val="0"/>
              <w:pageBreakBefore w:val="0"/>
              <w:widowControl/>
              <w:kinsoku/>
              <w:wordWrap/>
              <w:overflowPunct/>
              <w:topLinePunct w:val="0"/>
              <w:bidi w:val="0"/>
              <w:spacing w:line="360" w:lineRule="auto"/>
              <w:ind w:firstLine="0" w:firstLineChars="0"/>
              <w:textAlignment w:val="auto"/>
              <w:rPr>
                <w:b/>
                <w:bCs/>
                <w:color w:val="auto"/>
                <w:spacing w:val="0"/>
                <w:position w:val="0"/>
                <w:sz w:val="21"/>
                <w:szCs w:val="21"/>
              </w:rPr>
            </w:pPr>
            <w:r>
              <w:rPr>
                <w:rFonts w:hint="eastAsia"/>
                <w:b/>
                <w:bCs/>
                <w:color w:val="auto"/>
                <w:spacing w:val="0"/>
                <w:position w:val="0"/>
                <w:sz w:val="21"/>
                <w:szCs w:val="21"/>
                <w:lang w:val="en-US" w:eastAsia="zh-CN"/>
              </w:rPr>
              <w:t>5</w:t>
            </w:r>
            <w:r>
              <w:rPr>
                <w:rFonts w:hint="eastAsia"/>
                <w:b/>
                <w:bCs/>
                <w:color w:val="auto"/>
                <w:spacing w:val="0"/>
                <w:position w:val="0"/>
                <w:sz w:val="21"/>
                <w:szCs w:val="21"/>
              </w:rPr>
              <w:t>.1与</w:t>
            </w:r>
            <w:r>
              <w:rPr>
                <w:b/>
                <w:bCs/>
                <w:color w:val="auto"/>
                <w:spacing w:val="0"/>
                <w:position w:val="0"/>
                <w:sz w:val="21"/>
                <w:szCs w:val="21"/>
              </w:rPr>
              <w:t>《中华人民共和国大气污染防治法》的符合性</w:t>
            </w:r>
            <w:r>
              <w:rPr>
                <w:rFonts w:hint="eastAsia" w:ascii="Times New Roman" w:hAnsi="Times New Roman" w:eastAsia="宋体"/>
                <w:b/>
                <w:bCs/>
                <w:color w:val="auto"/>
                <w:spacing w:val="0"/>
                <w:position w:val="0"/>
                <w:sz w:val="21"/>
                <w:szCs w:val="21"/>
                <w:lang w:val="en-US" w:eastAsia="zh-CN"/>
              </w:rPr>
              <w:t>分析</w:t>
            </w:r>
          </w:p>
          <w:p w14:paraId="397F7060">
            <w:pPr>
              <w:pStyle w:val="102"/>
              <w:keepNext w:val="0"/>
              <w:keepLines w:val="0"/>
              <w:pageBreakBefore w:val="0"/>
              <w:widowControl w:val="0"/>
              <w:numPr>
                <w:ilvl w:val="0"/>
                <w:numId w:val="0"/>
              </w:numPr>
              <w:kinsoku/>
              <w:wordWrap/>
              <w:overflowPunct/>
              <w:topLinePunct w:val="0"/>
              <w:bidi w:val="0"/>
              <w:spacing w:line="360" w:lineRule="auto"/>
              <w:ind w:firstLine="420" w:firstLineChars="200"/>
              <w:textAlignment w:val="auto"/>
              <w:rPr>
                <w:rFonts w:hint="eastAsia"/>
                <w:color w:val="auto"/>
                <w:spacing w:val="0"/>
                <w:position w:val="0"/>
                <w:sz w:val="21"/>
                <w:szCs w:val="21"/>
              </w:rPr>
            </w:pPr>
            <w:r>
              <w:rPr>
                <w:rFonts w:hint="eastAsia"/>
                <w:color w:val="auto"/>
                <w:spacing w:val="0"/>
                <w:position w:val="0"/>
                <w:sz w:val="21"/>
                <w:szCs w:val="21"/>
                <w:lang w:val="en-US" w:eastAsia="zh-CN"/>
              </w:rPr>
              <w:t>根据</w:t>
            </w:r>
            <w:r>
              <w:rPr>
                <w:rFonts w:hint="eastAsia"/>
                <w:color w:val="auto"/>
                <w:spacing w:val="0"/>
                <w:position w:val="0"/>
                <w:sz w:val="21"/>
                <w:szCs w:val="21"/>
              </w:rPr>
              <w:t>《中华人民共和国大气污染防治法》</w:t>
            </w:r>
            <w:r>
              <w:rPr>
                <w:rFonts w:hint="eastAsia"/>
                <w:color w:val="auto"/>
                <w:spacing w:val="0"/>
                <w:position w:val="0"/>
                <w:sz w:val="21"/>
                <w:szCs w:val="21"/>
                <w:lang w:val="en-US" w:eastAsia="zh-CN"/>
              </w:rPr>
              <w:t>中</w:t>
            </w:r>
            <w:r>
              <w:rPr>
                <w:rFonts w:hint="eastAsia"/>
                <w:color w:val="auto"/>
                <w:spacing w:val="0"/>
                <w:position w:val="0"/>
                <w:sz w:val="21"/>
                <w:szCs w:val="21"/>
              </w:rPr>
              <w:t>第四十五条</w:t>
            </w:r>
            <w:r>
              <w:rPr>
                <w:rFonts w:hint="eastAsia"/>
                <w:color w:val="auto"/>
                <w:spacing w:val="0"/>
                <w:position w:val="0"/>
                <w:sz w:val="21"/>
                <w:szCs w:val="21"/>
                <w:lang w:val="en-US" w:eastAsia="zh-CN"/>
              </w:rPr>
              <w:t>“</w:t>
            </w:r>
            <w:r>
              <w:rPr>
                <w:rFonts w:hint="eastAsia"/>
                <w:color w:val="auto"/>
                <w:spacing w:val="0"/>
                <w:position w:val="0"/>
                <w:sz w:val="21"/>
                <w:szCs w:val="21"/>
              </w:rPr>
              <w:t>产生含挥发性有机物废气的生产和服务活动，应当在密闭空间或者设备中进行，并按照规定安装、使用污染防治设施</w:t>
            </w:r>
            <w:r>
              <w:rPr>
                <w:rFonts w:hint="eastAsia"/>
                <w:color w:val="auto"/>
                <w:spacing w:val="0"/>
                <w:position w:val="0"/>
                <w:sz w:val="21"/>
                <w:szCs w:val="21"/>
                <w:lang w:eastAsia="zh-CN"/>
              </w:rPr>
              <w:t>；</w:t>
            </w:r>
            <w:r>
              <w:rPr>
                <w:rFonts w:hint="eastAsia"/>
                <w:color w:val="auto"/>
                <w:spacing w:val="0"/>
                <w:position w:val="0"/>
                <w:sz w:val="21"/>
                <w:szCs w:val="21"/>
              </w:rPr>
              <w:t>无法密闭的，应当采取措施减少废气排放。</w:t>
            </w:r>
            <w:r>
              <w:rPr>
                <w:rFonts w:hint="eastAsia"/>
                <w:color w:val="auto"/>
                <w:spacing w:val="0"/>
                <w:position w:val="0"/>
                <w:sz w:val="21"/>
                <w:szCs w:val="21"/>
                <w:lang w:val="en-US" w:eastAsia="zh-CN"/>
              </w:rPr>
              <w:t>”</w:t>
            </w:r>
          </w:p>
          <w:p w14:paraId="28970E47">
            <w:pPr>
              <w:pStyle w:val="102"/>
              <w:keepNext w:val="0"/>
              <w:keepLines w:val="0"/>
              <w:pageBreakBefore w:val="0"/>
              <w:widowControl w:val="0"/>
              <w:numPr>
                <w:ilvl w:val="0"/>
                <w:numId w:val="0"/>
              </w:numPr>
              <w:kinsoku/>
              <w:wordWrap/>
              <w:overflowPunct/>
              <w:topLinePunct w:val="0"/>
              <w:bidi w:val="0"/>
              <w:spacing w:line="360" w:lineRule="auto"/>
              <w:ind w:firstLine="420" w:firstLineChars="200"/>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本项目混料与破碎过程以及注塑挤塑过程均位于封闭车间内，混料与破碎过程会产生颗粒物，设置集气罩收集，再由</w:t>
            </w:r>
            <w:r>
              <w:rPr>
                <w:rFonts w:hint="eastAsia"/>
                <w:color w:val="auto"/>
                <w:spacing w:val="0"/>
                <w:position w:val="0"/>
                <w:sz w:val="21"/>
                <w:szCs w:val="21"/>
              </w:rPr>
              <w:t>布袋除尘器</w:t>
            </w:r>
            <w:r>
              <w:rPr>
                <w:rFonts w:hint="eastAsia"/>
                <w:color w:val="auto"/>
                <w:spacing w:val="0"/>
                <w:position w:val="0"/>
                <w:sz w:val="21"/>
                <w:szCs w:val="21"/>
                <w:lang w:val="en-US" w:eastAsia="zh-CN"/>
              </w:rPr>
              <w:t>处理</w:t>
            </w:r>
            <w:r>
              <w:rPr>
                <w:rFonts w:hint="eastAsia"/>
                <w:color w:val="auto"/>
                <w:spacing w:val="0"/>
                <w:position w:val="0"/>
                <w:sz w:val="21"/>
                <w:szCs w:val="21"/>
                <w:lang w:eastAsia="zh-CN"/>
              </w:rPr>
              <w:t>，</w:t>
            </w:r>
            <w:r>
              <w:rPr>
                <w:rFonts w:hint="eastAsia"/>
                <w:color w:val="auto"/>
                <w:spacing w:val="0"/>
                <w:position w:val="0"/>
                <w:sz w:val="21"/>
                <w:szCs w:val="21"/>
              </w:rPr>
              <w:t>通过处理后，由15m高排气筒（DA00</w:t>
            </w:r>
            <w:r>
              <w:rPr>
                <w:rFonts w:hint="eastAsia"/>
                <w:color w:val="auto"/>
                <w:spacing w:val="0"/>
                <w:position w:val="0"/>
                <w:sz w:val="21"/>
                <w:szCs w:val="21"/>
                <w:lang w:val="en-US" w:eastAsia="zh-CN"/>
              </w:rPr>
              <w:t>1</w:t>
            </w:r>
            <w:r>
              <w:rPr>
                <w:rFonts w:hint="eastAsia"/>
                <w:color w:val="auto"/>
                <w:spacing w:val="0"/>
                <w:position w:val="0"/>
                <w:sz w:val="21"/>
                <w:szCs w:val="21"/>
              </w:rPr>
              <w:t>）排放；</w:t>
            </w:r>
            <w:r>
              <w:rPr>
                <w:rFonts w:hint="eastAsia"/>
                <w:color w:val="auto"/>
                <w:spacing w:val="0"/>
                <w:position w:val="0"/>
                <w:sz w:val="21"/>
                <w:szCs w:val="21"/>
                <w:lang w:val="en-US" w:eastAsia="zh-CN"/>
              </w:rPr>
              <w:t>挤出注塑过程会产生有机废气</w:t>
            </w:r>
            <w:bookmarkStart w:id="20" w:name="_GoBack"/>
            <w:bookmarkEnd w:id="20"/>
            <w:r>
              <w:rPr>
                <w:rFonts w:hint="eastAsia"/>
                <w:color w:val="auto"/>
                <w:spacing w:val="0"/>
                <w:position w:val="0"/>
                <w:sz w:val="21"/>
                <w:szCs w:val="21"/>
                <w:lang w:val="en-US" w:eastAsia="zh-CN"/>
              </w:rPr>
              <w:t>，注塑机上方设置集气罩，通过活性炭吸附脱附，再引入催化燃烧器</w:t>
            </w:r>
            <w:r>
              <w:rPr>
                <w:rFonts w:hint="eastAsia"/>
                <w:color w:val="auto"/>
                <w:spacing w:val="0"/>
                <w:position w:val="0"/>
                <w:sz w:val="21"/>
                <w:szCs w:val="21"/>
              </w:rPr>
              <w:t>处理</w:t>
            </w:r>
            <w:r>
              <w:rPr>
                <w:rFonts w:hint="eastAsia"/>
                <w:color w:val="auto"/>
                <w:spacing w:val="0"/>
                <w:position w:val="0"/>
                <w:sz w:val="21"/>
                <w:szCs w:val="21"/>
                <w:lang w:eastAsia="zh-CN"/>
              </w:rPr>
              <w:t>，</w:t>
            </w:r>
            <w:r>
              <w:rPr>
                <w:rFonts w:hint="eastAsia"/>
                <w:color w:val="auto"/>
                <w:spacing w:val="0"/>
                <w:position w:val="0"/>
                <w:sz w:val="21"/>
                <w:szCs w:val="21"/>
                <w:lang w:val="en-US" w:eastAsia="zh-CN"/>
              </w:rPr>
              <w:t>处理</w:t>
            </w:r>
            <w:r>
              <w:rPr>
                <w:rFonts w:hint="eastAsia"/>
                <w:color w:val="auto"/>
                <w:spacing w:val="0"/>
                <w:position w:val="0"/>
                <w:sz w:val="21"/>
                <w:szCs w:val="21"/>
              </w:rPr>
              <w:t>后由15m高排气筒（DA00</w:t>
            </w:r>
            <w:r>
              <w:rPr>
                <w:rFonts w:hint="eastAsia"/>
                <w:color w:val="auto"/>
                <w:spacing w:val="0"/>
                <w:position w:val="0"/>
                <w:sz w:val="21"/>
                <w:szCs w:val="21"/>
                <w:lang w:val="en-US" w:eastAsia="zh-CN"/>
              </w:rPr>
              <w:t>2</w:t>
            </w:r>
            <w:r>
              <w:rPr>
                <w:rFonts w:hint="eastAsia"/>
                <w:color w:val="auto"/>
                <w:spacing w:val="0"/>
                <w:position w:val="0"/>
                <w:sz w:val="21"/>
                <w:szCs w:val="21"/>
              </w:rPr>
              <w:t>）排放。</w:t>
            </w:r>
            <w:r>
              <w:rPr>
                <w:rFonts w:hint="eastAsia"/>
                <w:color w:val="auto"/>
                <w:spacing w:val="0"/>
                <w:position w:val="0"/>
                <w:sz w:val="21"/>
                <w:szCs w:val="21"/>
                <w:lang w:val="en-US" w:eastAsia="zh-CN"/>
              </w:rPr>
              <w:t>本项目产污环节均在密闭车间内，已采取布袋除尘器以及活性炭吸附脱附加催化燃烧器处理废气，</w:t>
            </w:r>
            <w:r>
              <w:rPr>
                <w:rFonts w:hint="eastAsia"/>
                <w:color w:val="auto"/>
                <w:spacing w:val="0"/>
                <w:position w:val="0"/>
                <w:sz w:val="21"/>
                <w:szCs w:val="21"/>
              </w:rPr>
              <w:t>因此本项目符合</w:t>
            </w:r>
            <w:r>
              <w:rPr>
                <w:rFonts w:hint="eastAsia"/>
                <w:color w:val="auto"/>
                <w:spacing w:val="0"/>
                <w:position w:val="0"/>
                <w:sz w:val="21"/>
                <w:szCs w:val="21"/>
                <w:lang w:val="en-US" w:eastAsia="zh-CN"/>
              </w:rPr>
              <w:t>文件</w:t>
            </w:r>
            <w:r>
              <w:rPr>
                <w:rFonts w:hint="eastAsia"/>
                <w:color w:val="auto"/>
                <w:spacing w:val="0"/>
                <w:position w:val="0"/>
                <w:sz w:val="21"/>
                <w:szCs w:val="21"/>
              </w:rPr>
              <w:t>的规定。</w:t>
            </w:r>
          </w:p>
          <w:p w14:paraId="0983A7A3">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b/>
                <w:bCs/>
                <w:color w:val="auto"/>
                <w:spacing w:val="0"/>
                <w:position w:val="0"/>
                <w:sz w:val="21"/>
                <w:szCs w:val="21"/>
              </w:rPr>
            </w:pPr>
            <w:r>
              <w:rPr>
                <w:rFonts w:hint="eastAsia"/>
                <w:b/>
                <w:bCs/>
                <w:color w:val="auto"/>
                <w:spacing w:val="0"/>
                <w:position w:val="0"/>
                <w:sz w:val="21"/>
                <w:szCs w:val="21"/>
                <w:lang w:val="en-US" w:eastAsia="zh-CN"/>
              </w:rPr>
              <w:t>5</w:t>
            </w:r>
            <w:r>
              <w:rPr>
                <w:rFonts w:ascii="Times New Roman" w:hAnsi="Times New Roman" w:eastAsia="宋体"/>
                <w:b/>
                <w:bCs/>
                <w:color w:val="auto"/>
                <w:spacing w:val="0"/>
                <w:position w:val="0"/>
                <w:sz w:val="21"/>
                <w:szCs w:val="21"/>
              </w:rPr>
              <w:t>.</w:t>
            </w:r>
            <w:r>
              <w:rPr>
                <w:rFonts w:hint="eastAsia"/>
                <w:b/>
                <w:bCs/>
                <w:color w:val="auto"/>
                <w:spacing w:val="0"/>
                <w:position w:val="0"/>
                <w:sz w:val="21"/>
                <w:szCs w:val="21"/>
                <w:lang w:val="en-US" w:eastAsia="zh-CN"/>
              </w:rPr>
              <w:t>2</w:t>
            </w:r>
            <w:r>
              <w:rPr>
                <w:rFonts w:ascii="Times New Roman" w:hAnsi="Times New Roman" w:eastAsia="宋体"/>
                <w:b/>
                <w:bCs/>
                <w:color w:val="auto"/>
                <w:spacing w:val="0"/>
                <w:position w:val="0"/>
                <w:sz w:val="21"/>
                <w:szCs w:val="21"/>
              </w:rPr>
              <w:t>与《中华人民共和国固体废物污染环境防治法》的符合性</w:t>
            </w:r>
            <w:r>
              <w:rPr>
                <w:rFonts w:hint="eastAsia" w:ascii="Times New Roman" w:hAnsi="Times New Roman" w:eastAsia="宋体"/>
                <w:b/>
                <w:bCs/>
                <w:color w:val="auto"/>
                <w:spacing w:val="0"/>
                <w:position w:val="0"/>
                <w:sz w:val="21"/>
                <w:szCs w:val="21"/>
                <w:lang w:val="en-US" w:eastAsia="zh-CN"/>
              </w:rPr>
              <w:t>分析</w:t>
            </w:r>
          </w:p>
          <w:p w14:paraId="7338908C">
            <w:pPr>
              <w:keepNext w:val="0"/>
              <w:keepLines w:val="0"/>
              <w:pageBreakBefore w:val="0"/>
              <w:kinsoku/>
              <w:wordWrap/>
              <w:overflowPunct/>
              <w:topLinePunct w:val="0"/>
              <w:autoSpaceDE/>
              <w:autoSpaceDN/>
              <w:bidi w:val="0"/>
              <w:adjustRightInd/>
              <w:snapToGrid/>
              <w:spacing w:line="360" w:lineRule="auto"/>
              <w:ind w:firstLine="560"/>
              <w:textAlignment w:val="auto"/>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根据《中华人民共和国固体废物污染环境防治法》中第四十条</w:t>
            </w:r>
            <w:r>
              <w:rPr>
                <w:rFonts w:hint="eastAsia"/>
                <w:color w:val="auto"/>
                <w:spacing w:val="0"/>
                <w:position w:val="0"/>
                <w:sz w:val="21"/>
                <w:szCs w:val="21"/>
                <w:lang w:eastAsia="zh-CN"/>
              </w:rPr>
              <w:t>“</w:t>
            </w:r>
            <w:r>
              <w:rPr>
                <w:rFonts w:ascii="Times New Roman" w:hAnsi="Times New Roman" w:eastAsia="宋体"/>
                <w:color w:val="auto"/>
                <w:spacing w:val="0"/>
                <w:position w:val="0"/>
                <w:sz w:val="21"/>
                <w:szCs w:val="21"/>
              </w:rPr>
              <w:t>产生工业固体废物的单位应当根据经济、技术条件对工业固体废物加以利用；对暂时不利用或者不能利用的，应当按照国务院</w:t>
            </w:r>
            <w:r>
              <w:rPr>
                <w:rFonts w:hint="eastAsia" w:ascii="Times New Roman" w:hAnsi="Times New Roman" w:eastAsia="宋体"/>
                <w:color w:val="auto"/>
                <w:spacing w:val="0"/>
                <w:position w:val="0"/>
                <w:sz w:val="21"/>
                <w:szCs w:val="21"/>
                <w:lang w:eastAsia="zh-CN"/>
              </w:rPr>
              <w:t>生态环境</w:t>
            </w:r>
            <w:r>
              <w:rPr>
                <w:rFonts w:ascii="Times New Roman" w:hAnsi="Times New Roman" w:eastAsia="宋体"/>
                <w:color w:val="auto"/>
                <w:spacing w:val="0"/>
                <w:position w:val="0"/>
                <w:sz w:val="21"/>
                <w:szCs w:val="21"/>
              </w:rPr>
              <w:t>主管部门的规定建设贮存设施、场所，安全分类存放，或者采取无害化处置措施。贮存工业固体废物应当采取符合国家环境保护标准的防护措施</w:t>
            </w:r>
            <w:r>
              <w:rPr>
                <w:rFonts w:hint="eastAsia"/>
                <w:color w:val="auto"/>
                <w:spacing w:val="0"/>
                <w:position w:val="0"/>
                <w:sz w:val="21"/>
                <w:szCs w:val="21"/>
                <w:lang w:eastAsia="zh-CN"/>
              </w:rPr>
              <w:t>”</w:t>
            </w:r>
            <w:r>
              <w:rPr>
                <w:rFonts w:ascii="Times New Roman" w:hAnsi="Times New Roman" w:eastAsia="宋体"/>
                <w:color w:val="auto"/>
                <w:spacing w:val="0"/>
                <w:position w:val="0"/>
                <w:sz w:val="21"/>
                <w:szCs w:val="21"/>
              </w:rPr>
              <w:t>。</w:t>
            </w:r>
          </w:p>
          <w:p w14:paraId="54441BAB">
            <w:pPr>
              <w:keepNext w:val="0"/>
              <w:keepLines w:val="0"/>
              <w:pageBreakBefore w:val="0"/>
              <w:kinsoku/>
              <w:wordWrap/>
              <w:overflowPunct/>
              <w:topLinePunct w:val="0"/>
              <w:autoSpaceDE/>
              <w:autoSpaceDN/>
              <w:bidi w:val="0"/>
              <w:adjustRightInd/>
              <w:snapToGrid/>
              <w:spacing w:line="360" w:lineRule="auto"/>
              <w:ind w:firstLine="560"/>
              <w:textAlignment w:val="auto"/>
              <w:rPr>
                <w:rFonts w:ascii="Times New Roman" w:hAnsi="Times New Roman" w:eastAsia="宋体"/>
                <w:color w:val="0000FF"/>
                <w:spacing w:val="0"/>
                <w:position w:val="0"/>
                <w:sz w:val="21"/>
                <w:szCs w:val="21"/>
              </w:rPr>
            </w:pPr>
            <w:r>
              <w:rPr>
                <w:rFonts w:hint="eastAsia" w:ascii="Times New Roman" w:hAnsi="Times New Roman" w:eastAsia="宋体"/>
                <w:color w:val="auto"/>
                <w:spacing w:val="0"/>
                <w:position w:val="0"/>
                <w:sz w:val="21"/>
                <w:szCs w:val="21"/>
              </w:rPr>
              <w:t>本项目产生的废包装袋</w:t>
            </w:r>
            <w:r>
              <w:rPr>
                <w:rFonts w:hint="eastAsia" w:ascii="Times New Roman" w:hAnsi="Times New Roman" w:eastAsia="宋体"/>
                <w:color w:val="auto"/>
                <w:spacing w:val="0"/>
                <w:position w:val="0"/>
                <w:sz w:val="21"/>
                <w:szCs w:val="21"/>
                <w:lang w:eastAsia="zh-CN"/>
              </w:rPr>
              <w:t>、</w:t>
            </w:r>
            <w:r>
              <w:rPr>
                <w:rFonts w:hint="eastAsia" w:ascii="Times New Roman" w:hAnsi="Times New Roman" w:eastAsia="宋体"/>
                <w:color w:val="auto"/>
                <w:spacing w:val="0"/>
                <w:position w:val="0"/>
                <w:sz w:val="21"/>
                <w:szCs w:val="21"/>
                <w:lang w:val="en-US" w:eastAsia="zh-CN"/>
              </w:rPr>
              <w:t>废布袋</w:t>
            </w:r>
            <w:r>
              <w:rPr>
                <w:rFonts w:hint="eastAsia"/>
                <w:color w:val="auto"/>
                <w:spacing w:val="0"/>
                <w:position w:val="0"/>
                <w:sz w:val="21"/>
                <w:szCs w:val="21"/>
                <w:lang w:val="en-US" w:eastAsia="zh-CN"/>
              </w:rPr>
              <w:t>交由回收公司</w:t>
            </w:r>
            <w:r>
              <w:rPr>
                <w:rFonts w:ascii="Times New Roman" w:hAnsi="Times New Roman" w:eastAsia="宋体"/>
                <w:color w:val="auto"/>
                <w:spacing w:val="0"/>
                <w:position w:val="0"/>
                <w:sz w:val="21"/>
                <w:szCs w:val="21"/>
              </w:rPr>
              <w:t>处理</w:t>
            </w:r>
            <w:r>
              <w:rPr>
                <w:rFonts w:hint="eastAsia" w:ascii="Times New Roman" w:hAnsi="Times New Roman" w:eastAsia="宋体"/>
                <w:color w:val="auto"/>
                <w:spacing w:val="0"/>
                <w:position w:val="0"/>
                <w:sz w:val="21"/>
                <w:szCs w:val="21"/>
              </w:rPr>
              <w:t>；生活垃圾等由厂区垃圾桶收集并由环卫定期处理，</w:t>
            </w:r>
            <w:r>
              <w:rPr>
                <w:rFonts w:ascii="Times New Roman" w:hAnsi="Times New Roman" w:eastAsia="宋体"/>
                <w:color w:val="auto"/>
                <w:spacing w:val="0"/>
                <w:position w:val="0"/>
                <w:sz w:val="21"/>
                <w:szCs w:val="21"/>
              </w:rPr>
              <w:t>对环境影响较小。因此本项目符合《中华人民共和国固体废物污染环境防治法》中的相关规定</w:t>
            </w:r>
            <w:r>
              <w:rPr>
                <w:rFonts w:hint="eastAsia" w:ascii="Times New Roman" w:hAnsi="Times New Roman" w:eastAsia="宋体"/>
                <w:color w:val="auto"/>
                <w:spacing w:val="0"/>
                <w:position w:val="0"/>
                <w:sz w:val="21"/>
                <w:szCs w:val="21"/>
              </w:rPr>
              <w:t>。</w:t>
            </w:r>
          </w:p>
          <w:p w14:paraId="0F9A96E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b/>
                <w:bCs/>
                <w:color w:val="auto"/>
                <w:spacing w:val="0"/>
                <w:position w:val="0"/>
                <w:sz w:val="21"/>
                <w:szCs w:val="21"/>
                <w:lang w:val="en-US" w:eastAsia="zh-CN"/>
              </w:rPr>
            </w:pPr>
            <w:r>
              <w:rPr>
                <w:rFonts w:hint="eastAsia"/>
                <w:b/>
                <w:bCs/>
                <w:color w:val="auto"/>
                <w:spacing w:val="0"/>
                <w:position w:val="0"/>
                <w:sz w:val="21"/>
                <w:szCs w:val="21"/>
                <w:lang w:val="en-US" w:eastAsia="zh-CN"/>
              </w:rPr>
              <w:t>6与</w:t>
            </w:r>
            <w:r>
              <w:rPr>
                <w:rFonts w:hint="default" w:ascii="Times New Roman" w:hAnsi="Times New Roman" w:eastAsia="宋体"/>
                <w:b/>
                <w:bCs/>
                <w:color w:val="auto"/>
                <w:spacing w:val="0"/>
                <w:position w:val="0"/>
                <w:sz w:val="21"/>
                <w:szCs w:val="21"/>
                <w:lang w:val="en-US" w:eastAsia="zh-CN"/>
              </w:rPr>
              <w:t>《第七师胡杨河市“十四五”生态环境保护规划</w:t>
            </w:r>
            <w:r>
              <w:rPr>
                <w:rFonts w:hint="eastAsia"/>
                <w:b/>
                <w:bCs/>
                <w:color w:val="auto"/>
                <w:spacing w:val="0"/>
                <w:position w:val="0"/>
                <w:sz w:val="21"/>
                <w:szCs w:val="21"/>
                <w:lang w:val="en-US" w:eastAsia="zh-CN"/>
              </w:rPr>
              <w:t>（</w:t>
            </w:r>
            <w:r>
              <w:rPr>
                <w:rFonts w:hint="default" w:ascii="Times New Roman" w:hAnsi="Times New Roman" w:eastAsia="宋体"/>
                <w:b/>
                <w:bCs/>
                <w:color w:val="auto"/>
                <w:spacing w:val="0"/>
                <w:position w:val="0"/>
                <w:sz w:val="21"/>
                <w:szCs w:val="21"/>
                <w:lang w:val="en-US" w:eastAsia="zh-CN"/>
              </w:rPr>
              <w:t>2021-2025年</w:t>
            </w:r>
            <w:r>
              <w:rPr>
                <w:rFonts w:hint="eastAsia"/>
                <w:b/>
                <w:bCs/>
                <w:color w:val="auto"/>
                <w:spacing w:val="0"/>
                <w:position w:val="0"/>
                <w:sz w:val="21"/>
                <w:szCs w:val="21"/>
                <w:lang w:val="en-US" w:eastAsia="zh-CN"/>
              </w:rPr>
              <w:t>）</w:t>
            </w:r>
            <w:r>
              <w:rPr>
                <w:rFonts w:hint="default" w:ascii="Times New Roman" w:hAnsi="Times New Roman" w:eastAsia="宋体"/>
                <w:b/>
                <w:bCs/>
                <w:color w:val="auto"/>
                <w:spacing w:val="0"/>
                <w:position w:val="0"/>
                <w:sz w:val="21"/>
                <w:szCs w:val="21"/>
                <w:lang w:val="en-US" w:eastAsia="zh-CN"/>
              </w:rPr>
              <w:t>》</w:t>
            </w:r>
            <w:r>
              <w:rPr>
                <w:rFonts w:ascii="Times New Roman" w:hAnsi="Times New Roman" w:eastAsia="宋体"/>
                <w:b/>
                <w:bCs/>
                <w:color w:val="auto"/>
                <w:spacing w:val="0"/>
                <w:position w:val="0"/>
                <w:sz w:val="21"/>
                <w:szCs w:val="21"/>
              </w:rPr>
              <w:t>的符合性</w:t>
            </w:r>
            <w:r>
              <w:rPr>
                <w:rFonts w:hint="eastAsia"/>
                <w:b/>
                <w:bCs/>
                <w:color w:val="auto"/>
                <w:spacing w:val="0"/>
                <w:position w:val="0"/>
                <w:sz w:val="21"/>
                <w:szCs w:val="21"/>
                <w:lang w:val="en-US" w:eastAsia="zh-CN"/>
              </w:rPr>
              <w:t>分析</w:t>
            </w:r>
          </w:p>
          <w:p w14:paraId="4BDD899C">
            <w:pPr>
              <w:keepNext w:val="0"/>
              <w:keepLines w:val="0"/>
              <w:pageBreakBefore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根据《</w:t>
            </w:r>
            <w:r>
              <w:rPr>
                <w:rFonts w:hint="default" w:ascii="Times New Roman" w:hAnsi="Times New Roman" w:eastAsia="宋体"/>
                <w:color w:val="auto"/>
                <w:spacing w:val="0"/>
                <w:position w:val="0"/>
                <w:sz w:val="21"/>
                <w:szCs w:val="21"/>
                <w:lang w:val="en-US" w:eastAsia="zh-CN"/>
              </w:rPr>
              <w:t>第七师胡杨河市“十四五”生态环境保护规划</w:t>
            </w:r>
            <w:r>
              <w:rPr>
                <w:rFonts w:hint="eastAsia"/>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eastAsia="zh-CN"/>
              </w:rPr>
              <w:t>2021-2025年</w:t>
            </w:r>
            <w:r>
              <w:rPr>
                <w:rFonts w:hint="eastAsia"/>
                <w:color w:val="auto"/>
                <w:spacing w:val="0"/>
                <w:position w:val="0"/>
                <w:sz w:val="21"/>
                <w:szCs w:val="21"/>
                <w:lang w:val="en-US" w:eastAsia="zh-CN"/>
              </w:rPr>
              <w:t>）</w:t>
            </w:r>
            <w:r>
              <w:rPr>
                <w:rFonts w:hint="eastAsia" w:ascii="Times New Roman" w:hAnsi="Times New Roman" w:eastAsia="宋体"/>
                <w:color w:val="auto"/>
                <w:spacing w:val="0"/>
                <w:position w:val="0"/>
                <w:sz w:val="21"/>
                <w:szCs w:val="21"/>
                <w:lang w:val="en-US" w:eastAsia="zh-CN"/>
              </w:rPr>
              <w:t>》中第五章</w:t>
            </w:r>
            <w:r>
              <w:rPr>
                <w:rFonts w:hint="eastAsia"/>
                <w:color w:val="auto"/>
                <w:spacing w:val="0"/>
                <w:position w:val="0"/>
                <w:sz w:val="21"/>
                <w:szCs w:val="21"/>
                <w:lang w:val="en-US" w:eastAsia="zh-CN"/>
              </w:rPr>
              <w:t>，第二</w:t>
            </w:r>
            <w:r>
              <w:rPr>
                <w:rFonts w:hint="eastAsia" w:ascii="Times New Roman" w:hAnsi="Times New Roman" w:eastAsia="宋体"/>
                <w:color w:val="auto"/>
                <w:spacing w:val="0"/>
                <w:position w:val="0"/>
                <w:sz w:val="21"/>
                <w:szCs w:val="21"/>
                <w:lang w:val="en-US" w:eastAsia="zh-CN"/>
              </w:rPr>
              <w:t>节</w:t>
            </w:r>
            <w:bookmarkStart w:id="4" w:name="_Toc20362"/>
            <w:bookmarkStart w:id="5" w:name="_Toc18562"/>
            <w:bookmarkStart w:id="6" w:name="_Toc94259708"/>
            <w:r>
              <w:rPr>
                <w:rFonts w:ascii="Times New Roman" w:hAnsi="Times New Roman" w:eastAsia="宋体"/>
                <w:color w:val="auto"/>
                <w:spacing w:val="0"/>
                <w:position w:val="0"/>
                <w:sz w:val="21"/>
                <w:szCs w:val="21"/>
              </w:rPr>
              <w:t>持续推进多污染源治理</w:t>
            </w:r>
            <w:bookmarkEnd w:id="4"/>
            <w:bookmarkEnd w:id="5"/>
            <w:bookmarkEnd w:id="6"/>
            <w:r>
              <w:rPr>
                <w:rFonts w:hint="eastAsia" w:ascii="Times New Roman" w:hAnsi="Times New Roman" w:eastAsia="宋体"/>
                <w:color w:val="auto"/>
                <w:spacing w:val="0"/>
                <w:position w:val="0"/>
                <w:sz w:val="21"/>
                <w:szCs w:val="21"/>
                <w:lang w:val="en-US" w:eastAsia="zh-CN"/>
              </w:rPr>
              <w:t>“</w:t>
            </w:r>
            <w:r>
              <w:rPr>
                <w:rFonts w:ascii="Times New Roman" w:hAnsi="Times New Roman" w:eastAsia="宋体"/>
                <w:color w:val="auto"/>
                <w:spacing w:val="0"/>
                <w:position w:val="0"/>
                <w:sz w:val="21"/>
                <w:szCs w:val="21"/>
              </w:rPr>
              <w:t>加强重点行业VOCs污染治理。重点推进石化、化工、包装印刷、工业涂装等重点行业以及机动车、油品储运销等交通源VOCs的污染防治，加强VOCs排放总量控制。全面推进VOCs清洁排放改造，使用水性漆等低VOCs涂料替代溶剂型涂料，推广</w:t>
            </w:r>
            <w:r>
              <w:rPr>
                <w:rFonts w:hint="eastAsia" w:ascii="Times New Roman" w:hAnsi="Times New Roman" w:eastAsia="宋体"/>
                <w:color w:val="auto"/>
                <w:spacing w:val="0"/>
                <w:position w:val="0"/>
                <w:sz w:val="21"/>
                <w:szCs w:val="21"/>
              </w:rPr>
              <w:t>紫外光固化技术等低VOCs</w:t>
            </w:r>
            <w:r>
              <w:rPr>
                <w:rFonts w:ascii="Times New Roman" w:hAnsi="Times New Roman" w:eastAsia="宋体"/>
                <w:color w:val="auto"/>
                <w:spacing w:val="0"/>
                <w:position w:val="0"/>
                <w:sz w:val="21"/>
                <w:szCs w:val="21"/>
              </w:rPr>
              <w:t>工艺；推广处理效率高、可重复利用活性炭的VOCs治理技术。在师市开展环境空气VOCs自动监测</w:t>
            </w:r>
            <w:r>
              <w:rPr>
                <w:rFonts w:hint="eastAsia" w:ascii="Times New Roman" w:hAnsi="Times New Roman" w:eastAsia="宋体"/>
                <w:color w:val="auto"/>
                <w:spacing w:val="0"/>
                <w:position w:val="0"/>
                <w:sz w:val="21"/>
                <w:szCs w:val="21"/>
                <w:lang w:val="en-US" w:eastAsia="zh-CN"/>
              </w:rPr>
              <w:t>。”</w:t>
            </w:r>
          </w:p>
          <w:p w14:paraId="67E84ED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eastAsia="宋体"/>
                <w:spacing w:val="0"/>
                <w:position w:val="0"/>
                <w:sz w:val="21"/>
                <w:szCs w:val="21"/>
              </w:rPr>
            </w:pPr>
            <w:r>
              <w:rPr>
                <w:rFonts w:hint="eastAsia" w:ascii="Times New Roman" w:hAnsi="Times New Roman" w:eastAsia="宋体" w:cs="宋体"/>
                <w:color w:val="000000"/>
                <w:spacing w:val="0"/>
                <w:kern w:val="0"/>
                <w:position w:val="0"/>
                <w:sz w:val="21"/>
                <w:szCs w:val="21"/>
                <w:lang w:val="en-US" w:eastAsia="zh-CN" w:bidi="ar"/>
              </w:rPr>
              <w:t>本项目为塑料</w:t>
            </w:r>
            <w:r>
              <w:rPr>
                <w:rFonts w:hint="eastAsia" w:ascii="Times New Roman" w:hAnsi="Times New Roman" w:eastAsia="宋体" w:cs="宋体"/>
                <w:color w:val="auto"/>
                <w:spacing w:val="0"/>
                <w:kern w:val="0"/>
                <w:position w:val="0"/>
                <w:sz w:val="21"/>
                <w:szCs w:val="21"/>
                <w:lang w:val="en-US" w:eastAsia="zh-CN" w:bidi="ar"/>
              </w:rPr>
              <w:t>制品制造</w:t>
            </w:r>
            <w:r>
              <w:rPr>
                <w:rFonts w:hint="eastAsia" w:ascii="Times New Roman" w:hAnsi="Times New Roman" w:eastAsia="宋体" w:cs="Times New Roman"/>
                <w:color w:val="auto"/>
                <w:spacing w:val="0"/>
                <w:position w:val="0"/>
                <w:sz w:val="21"/>
                <w:szCs w:val="21"/>
                <w:lang w:val="en-US" w:eastAsia="zh-CN"/>
              </w:rPr>
              <w:t>项目，</w:t>
            </w:r>
            <w:r>
              <w:rPr>
                <w:rFonts w:hint="eastAsia" w:ascii="Times New Roman" w:hAnsi="Times New Roman" w:eastAsia="宋体" w:cs="宋体"/>
                <w:color w:val="000000"/>
                <w:spacing w:val="0"/>
                <w:kern w:val="0"/>
                <w:position w:val="0"/>
                <w:sz w:val="21"/>
                <w:szCs w:val="21"/>
                <w:lang w:val="en-US" w:eastAsia="zh-CN" w:bidi="ar"/>
              </w:rPr>
              <w:t>项目</w:t>
            </w:r>
            <w:r>
              <w:rPr>
                <w:rFonts w:hint="eastAsia" w:cs="宋体"/>
                <w:color w:val="000000"/>
                <w:spacing w:val="0"/>
                <w:kern w:val="0"/>
                <w:position w:val="0"/>
                <w:sz w:val="21"/>
                <w:szCs w:val="21"/>
                <w:lang w:val="en-US" w:eastAsia="zh-CN" w:bidi="ar"/>
              </w:rPr>
              <w:t>产生的污染物主要是颗粒物和挥发性有机物，本项目拟建布袋除尘器、活性炭吸附脱附加催化燃烧器以处理污染物，该环保措施均为业内先进水平，能有效控制挥发性有机物排放量，使污染物达标排放，不会影响周围空气质量；</w:t>
            </w:r>
            <w:r>
              <w:rPr>
                <w:rFonts w:hint="eastAsia" w:cs="Times New Roman"/>
                <w:color w:val="auto"/>
                <w:spacing w:val="0"/>
                <w:position w:val="0"/>
                <w:sz w:val="21"/>
                <w:szCs w:val="21"/>
                <w:lang w:val="en-US" w:eastAsia="zh-CN"/>
              </w:rPr>
              <w:t>由于本项目位于“奎-独-乌”大气重点联防联控区域，</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cs="Times New Roman"/>
                <w:color w:val="auto"/>
                <w:spacing w:val="0"/>
                <w:position w:val="0"/>
                <w:sz w:val="21"/>
                <w:szCs w:val="21"/>
                <w:vertAlign w:val="baseline"/>
                <w:lang w:val="en-US" w:eastAsia="zh-CN"/>
              </w:rPr>
              <w:t>总量指标</w:t>
            </w:r>
            <w:r>
              <w:rPr>
                <w:rFonts w:hint="eastAsia" w:ascii="Times New Roman" w:hAnsi="Times New Roman" w:eastAsia="宋体" w:cs="Times New Roman"/>
                <w:color w:val="auto"/>
                <w:spacing w:val="0"/>
                <w:position w:val="0"/>
                <w:sz w:val="21"/>
                <w:szCs w:val="21"/>
                <w:vertAlign w:val="baseline"/>
                <w:lang w:val="en-US" w:eastAsia="zh-CN"/>
              </w:rPr>
              <w:t>执行2倍量替代原则，</w:t>
            </w:r>
            <w:r>
              <w:rPr>
                <w:rFonts w:hint="eastAsia" w:cs="Times New Roman"/>
                <w:color w:val="auto"/>
                <w:spacing w:val="0"/>
                <w:position w:val="0"/>
                <w:sz w:val="21"/>
                <w:szCs w:val="21"/>
                <w:vertAlign w:val="baseline"/>
                <w:lang w:val="en-US" w:eastAsia="zh-CN"/>
              </w:rPr>
              <w:t>废气排放</w:t>
            </w:r>
            <w:r>
              <w:rPr>
                <w:rFonts w:hint="eastAsia"/>
                <w:color w:val="auto"/>
                <w:spacing w:val="0"/>
                <w:position w:val="0"/>
                <w:sz w:val="21"/>
                <w:szCs w:val="21"/>
              </w:rPr>
              <w:t>执行</w:t>
            </w:r>
            <w:r>
              <w:rPr>
                <w:rFonts w:hint="eastAsia" w:cs="宋体"/>
                <w:color w:val="auto"/>
                <w:spacing w:val="0"/>
                <w:position w:val="0"/>
                <w:sz w:val="21"/>
                <w:szCs w:val="21"/>
                <w:lang w:val="en-US" w:eastAsia="zh-CN"/>
              </w:rPr>
              <w:t>《合成树脂工业污染物排放标准》（GB- 31572-2015）及修改单</w:t>
            </w:r>
            <w:r>
              <w:rPr>
                <w:rFonts w:hint="eastAsia" w:ascii="Times New Roman" w:hAnsi="Times New Roman" w:eastAsia="宋体" w:cs="Times New Roman"/>
                <w:color w:val="auto"/>
                <w:spacing w:val="0"/>
                <w:position w:val="0"/>
                <w:sz w:val="21"/>
                <w:szCs w:val="21"/>
                <w:lang w:val="en-US" w:eastAsia="zh-CN"/>
              </w:rPr>
              <w:t>中</w:t>
            </w:r>
            <w:r>
              <w:rPr>
                <w:rFonts w:hint="eastAsia" w:cs="Times New Roman"/>
                <w:color w:val="auto"/>
                <w:spacing w:val="0"/>
                <w:position w:val="0"/>
                <w:sz w:val="21"/>
                <w:szCs w:val="21"/>
                <w:lang w:val="en-US" w:eastAsia="zh-CN"/>
              </w:rPr>
              <w:t>表5</w:t>
            </w:r>
            <w:r>
              <w:rPr>
                <w:rFonts w:hint="default" w:ascii="Times New Roman" w:hAnsi="Times New Roman" w:eastAsia="宋体" w:cs="Times New Roman"/>
                <w:color w:val="auto"/>
                <w:spacing w:val="0"/>
                <w:position w:val="0"/>
                <w:sz w:val="21"/>
                <w:szCs w:val="21"/>
                <w:lang w:val="en-US" w:eastAsia="zh-CN"/>
              </w:rPr>
              <w:t>特别排放限值</w:t>
            </w:r>
            <w:r>
              <w:rPr>
                <w:rFonts w:hint="eastAsia" w:cs="Times New Roman"/>
                <w:color w:val="auto"/>
                <w:spacing w:val="0"/>
                <w:position w:val="0"/>
                <w:sz w:val="21"/>
                <w:szCs w:val="21"/>
                <w:lang w:val="en-US" w:eastAsia="zh-CN"/>
              </w:rPr>
              <w:t>，</w:t>
            </w:r>
            <w:r>
              <w:rPr>
                <w:rFonts w:hint="eastAsia" w:cs="宋体"/>
                <w:color w:val="000000"/>
                <w:spacing w:val="0"/>
                <w:kern w:val="0"/>
                <w:position w:val="0"/>
                <w:sz w:val="21"/>
                <w:szCs w:val="21"/>
                <w:lang w:val="en-US" w:eastAsia="zh-CN" w:bidi="ar"/>
              </w:rPr>
              <w:t>严格控制</w:t>
            </w:r>
            <w:r>
              <w:rPr>
                <w:rFonts w:ascii="Times New Roman" w:hAnsi="Times New Roman" w:eastAsia="宋体"/>
                <w:color w:val="auto"/>
                <w:spacing w:val="0"/>
                <w:position w:val="0"/>
                <w:sz w:val="21"/>
                <w:szCs w:val="21"/>
              </w:rPr>
              <w:t>VOCs排放总量控制</w:t>
            </w:r>
            <w:r>
              <w:rPr>
                <w:rFonts w:hint="eastAsia" w:ascii="Times New Roman" w:hAnsi="Times New Roman" w:eastAsia="宋体" w:cs="宋体"/>
                <w:color w:val="000000"/>
                <w:spacing w:val="0"/>
                <w:kern w:val="0"/>
                <w:position w:val="0"/>
                <w:sz w:val="21"/>
                <w:szCs w:val="21"/>
                <w:lang w:val="en-US" w:eastAsia="zh-CN" w:bidi="ar"/>
              </w:rPr>
              <w:t>。因此，本项目符合《</w:t>
            </w:r>
            <w:r>
              <w:rPr>
                <w:rFonts w:hint="default" w:ascii="Times New Roman" w:hAnsi="Times New Roman" w:eastAsia="宋体"/>
                <w:color w:val="auto"/>
                <w:spacing w:val="0"/>
                <w:position w:val="0"/>
                <w:sz w:val="21"/>
                <w:szCs w:val="21"/>
                <w:lang w:val="en-US" w:eastAsia="zh-CN"/>
              </w:rPr>
              <w:t>第七师胡杨河市“十四五”生态环境保护规划</w:t>
            </w:r>
            <w:r>
              <w:rPr>
                <w:rFonts w:hint="eastAsia"/>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eastAsia="zh-CN"/>
              </w:rPr>
              <w:t>2021-2025年</w:t>
            </w:r>
            <w:r>
              <w:rPr>
                <w:rFonts w:hint="eastAsia"/>
                <w:color w:val="auto"/>
                <w:spacing w:val="0"/>
                <w:position w:val="0"/>
                <w:sz w:val="21"/>
                <w:szCs w:val="21"/>
                <w:lang w:val="en-US" w:eastAsia="zh-CN"/>
              </w:rPr>
              <w:t>）</w:t>
            </w:r>
            <w:r>
              <w:rPr>
                <w:rFonts w:hint="eastAsia" w:ascii="Times New Roman" w:hAnsi="Times New Roman" w:eastAsia="宋体" w:cs="宋体"/>
                <w:color w:val="000000"/>
                <w:spacing w:val="0"/>
                <w:kern w:val="0"/>
                <w:position w:val="0"/>
                <w:sz w:val="21"/>
                <w:szCs w:val="21"/>
                <w:lang w:val="en-US" w:eastAsia="zh-CN" w:bidi="ar"/>
              </w:rPr>
              <w:t>》要求。</w:t>
            </w:r>
          </w:p>
          <w:p w14:paraId="1A5BF0E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b/>
                <w:bCs/>
                <w:color w:val="auto"/>
                <w:spacing w:val="0"/>
                <w:position w:val="0"/>
                <w:sz w:val="21"/>
                <w:szCs w:val="21"/>
              </w:rPr>
            </w:pPr>
            <w:r>
              <w:rPr>
                <w:rFonts w:hint="eastAsia"/>
                <w:b/>
                <w:bCs/>
                <w:color w:val="auto"/>
                <w:spacing w:val="0"/>
                <w:position w:val="0"/>
                <w:sz w:val="21"/>
                <w:szCs w:val="21"/>
                <w:lang w:val="en-US" w:eastAsia="zh-CN"/>
              </w:rPr>
              <w:t>7</w:t>
            </w:r>
            <w:r>
              <w:rPr>
                <w:rFonts w:hint="eastAsia" w:ascii="Times New Roman" w:hAnsi="Times New Roman" w:eastAsia="宋体"/>
                <w:b/>
                <w:bCs/>
                <w:color w:val="auto"/>
                <w:spacing w:val="0"/>
                <w:position w:val="0"/>
                <w:sz w:val="21"/>
                <w:szCs w:val="21"/>
                <w:lang w:val="en-US" w:eastAsia="zh-CN"/>
              </w:rPr>
              <w:t>、与</w:t>
            </w:r>
            <w:r>
              <w:rPr>
                <w:rFonts w:hint="eastAsia"/>
                <w:b/>
                <w:bCs/>
                <w:color w:val="auto"/>
                <w:spacing w:val="0"/>
                <w:position w:val="0"/>
                <w:sz w:val="21"/>
                <w:szCs w:val="21"/>
                <w:lang w:val="en-US" w:eastAsia="zh-CN"/>
              </w:rPr>
              <w:t>“</w:t>
            </w:r>
            <w:r>
              <w:rPr>
                <w:rFonts w:hint="eastAsia" w:ascii="Times New Roman" w:hAnsi="Times New Roman" w:eastAsia="宋体"/>
                <w:b/>
                <w:bCs/>
                <w:color w:val="auto"/>
                <w:spacing w:val="0"/>
                <w:position w:val="0"/>
                <w:sz w:val="21"/>
                <w:szCs w:val="21"/>
                <w:lang w:val="en-US" w:eastAsia="zh-CN"/>
              </w:rPr>
              <w:t>挥发性有机物相关文件</w:t>
            </w:r>
            <w:r>
              <w:rPr>
                <w:rFonts w:hint="eastAsia"/>
                <w:b/>
                <w:bCs/>
                <w:color w:val="auto"/>
                <w:spacing w:val="0"/>
                <w:position w:val="0"/>
                <w:sz w:val="21"/>
                <w:szCs w:val="21"/>
                <w:lang w:val="en-US" w:eastAsia="zh-CN"/>
              </w:rPr>
              <w:t>”</w:t>
            </w:r>
            <w:r>
              <w:rPr>
                <w:rFonts w:hint="eastAsia" w:ascii="Times New Roman" w:hAnsi="Times New Roman" w:eastAsia="宋体"/>
                <w:b/>
                <w:bCs/>
                <w:color w:val="auto"/>
                <w:spacing w:val="0"/>
                <w:position w:val="0"/>
                <w:sz w:val="21"/>
                <w:szCs w:val="21"/>
                <w:lang w:val="en-US" w:eastAsia="zh-CN"/>
              </w:rPr>
              <w:t>相符性分析</w:t>
            </w:r>
          </w:p>
          <w:p w14:paraId="5237627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b/>
                <w:bCs/>
                <w:color w:val="auto"/>
                <w:spacing w:val="0"/>
                <w:position w:val="0"/>
                <w:sz w:val="21"/>
                <w:szCs w:val="21"/>
                <w:lang w:val="en-US" w:eastAsia="zh-CN"/>
              </w:rPr>
            </w:pPr>
            <w:r>
              <w:rPr>
                <w:rFonts w:hint="eastAsia"/>
                <w:b/>
                <w:bCs/>
                <w:color w:val="auto"/>
                <w:spacing w:val="0"/>
                <w:position w:val="0"/>
                <w:sz w:val="21"/>
                <w:szCs w:val="21"/>
                <w:lang w:val="en-US" w:eastAsia="zh-CN"/>
              </w:rPr>
              <w:t>7</w:t>
            </w:r>
            <w:r>
              <w:rPr>
                <w:rFonts w:hint="eastAsia" w:ascii="Times New Roman" w:hAnsi="Times New Roman" w:eastAsia="宋体"/>
                <w:b/>
                <w:bCs/>
                <w:color w:val="auto"/>
                <w:spacing w:val="0"/>
                <w:position w:val="0"/>
                <w:sz w:val="21"/>
                <w:szCs w:val="21"/>
                <w:lang w:val="en-US" w:eastAsia="zh-CN"/>
              </w:rPr>
              <w:t>.1、与环大气</w:t>
            </w:r>
            <w:r>
              <w:rPr>
                <w:rFonts w:hint="eastAsia"/>
                <w:b/>
                <w:bCs/>
                <w:color w:val="auto"/>
                <w:spacing w:val="0"/>
                <w:position w:val="0"/>
                <w:sz w:val="21"/>
                <w:szCs w:val="21"/>
                <w:lang w:val="en-US" w:eastAsia="zh-CN"/>
              </w:rPr>
              <w:t>〔2019〕53号</w:t>
            </w:r>
            <w:r>
              <w:rPr>
                <w:rFonts w:hint="eastAsia" w:ascii="Times New Roman" w:hAnsi="Times New Roman" w:eastAsia="宋体"/>
                <w:b/>
                <w:bCs/>
                <w:color w:val="auto"/>
                <w:spacing w:val="0"/>
                <w:position w:val="0"/>
                <w:sz w:val="21"/>
                <w:szCs w:val="21"/>
                <w:lang w:val="en-US" w:eastAsia="zh-CN"/>
              </w:rPr>
              <w:t>《生态环境部关于印发</w:t>
            </w:r>
            <w:r>
              <w:rPr>
                <w:rFonts w:hint="eastAsia" w:ascii="Times New Roman" w:hAnsi="Times New Roman" w:eastAsia="宋体" w:cs="宋体"/>
                <w:b/>
                <w:bCs/>
                <w:color w:val="auto"/>
                <w:spacing w:val="0"/>
                <w:position w:val="0"/>
                <w:sz w:val="21"/>
                <w:szCs w:val="21"/>
                <w:lang w:eastAsia="zh-CN"/>
              </w:rPr>
              <w:t>〈</w:t>
            </w:r>
            <w:r>
              <w:rPr>
                <w:rFonts w:hint="eastAsia" w:ascii="Times New Roman" w:hAnsi="Times New Roman" w:eastAsia="宋体"/>
                <w:b/>
                <w:bCs/>
                <w:color w:val="auto"/>
                <w:spacing w:val="0"/>
                <w:position w:val="0"/>
                <w:sz w:val="21"/>
                <w:szCs w:val="21"/>
                <w:lang w:val="en-US" w:eastAsia="zh-CN"/>
              </w:rPr>
              <w:t>重点行业挥发性有机物综合治理方案</w:t>
            </w:r>
            <w:r>
              <w:rPr>
                <w:rFonts w:hint="eastAsia" w:ascii="Times New Roman" w:hAnsi="Times New Roman" w:eastAsia="宋体" w:cs="宋体"/>
                <w:b/>
                <w:bCs/>
                <w:color w:val="auto"/>
                <w:spacing w:val="0"/>
                <w:position w:val="0"/>
                <w:sz w:val="21"/>
                <w:szCs w:val="21"/>
                <w:lang w:eastAsia="zh-CN"/>
              </w:rPr>
              <w:t>〉</w:t>
            </w:r>
            <w:r>
              <w:rPr>
                <w:rFonts w:hint="eastAsia" w:ascii="Times New Roman" w:hAnsi="Times New Roman" w:eastAsia="宋体"/>
                <w:b/>
                <w:bCs/>
                <w:color w:val="auto"/>
                <w:spacing w:val="0"/>
                <w:position w:val="0"/>
                <w:sz w:val="21"/>
                <w:szCs w:val="21"/>
                <w:lang w:val="en-US" w:eastAsia="zh-CN"/>
              </w:rPr>
              <w:t>的通知》相符性分析</w:t>
            </w:r>
          </w:p>
          <w:p w14:paraId="32AA8B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宋体"/>
                <w:color w:val="000000"/>
                <w:spacing w:val="0"/>
                <w:kern w:val="0"/>
                <w:position w:val="0"/>
                <w:sz w:val="21"/>
                <w:szCs w:val="21"/>
                <w:lang w:val="en-US" w:eastAsia="zh-CN" w:bidi="ar"/>
              </w:rPr>
            </w:pPr>
            <w:r>
              <w:rPr>
                <w:rFonts w:hint="eastAsia" w:ascii="Times New Roman" w:hAnsi="Times New Roman" w:eastAsia="宋体" w:cs="宋体"/>
                <w:color w:val="000000"/>
                <w:spacing w:val="0"/>
                <w:kern w:val="0"/>
                <w:position w:val="0"/>
                <w:sz w:val="21"/>
                <w:szCs w:val="21"/>
                <w:lang w:val="en-US" w:eastAsia="zh-CN" w:bidi="ar"/>
              </w:rPr>
              <w:t>根据《生态环境部关于印发</w:t>
            </w:r>
            <w:r>
              <w:rPr>
                <w:rFonts w:hint="eastAsia" w:ascii="Times New Roman" w:hAnsi="Times New Roman" w:eastAsia="宋体" w:cs="宋体"/>
                <w:color w:val="auto"/>
                <w:spacing w:val="0"/>
                <w:position w:val="0"/>
                <w:sz w:val="21"/>
                <w:szCs w:val="21"/>
                <w:lang w:eastAsia="zh-CN"/>
              </w:rPr>
              <w:t>〈</w:t>
            </w:r>
            <w:r>
              <w:rPr>
                <w:rFonts w:hint="eastAsia" w:ascii="Times New Roman" w:hAnsi="Times New Roman" w:eastAsia="宋体" w:cs="宋体"/>
                <w:color w:val="000000"/>
                <w:spacing w:val="0"/>
                <w:kern w:val="0"/>
                <w:position w:val="0"/>
                <w:sz w:val="21"/>
                <w:szCs w:val="21"/>
                <w:lang w:val="en-US" w:eastAsia="zh-CN" w:bidi="ar"/>
              </w:rPr>
              <w:t>重点行业挥发性有机物综合治理方案</w:t>
            </w:r>
            <w:r>
              <w:rPr>
                <w:rFonts w:hint="eastAsia" w:ascii="Times New Roman" w:hAnsi="Times New Roman" w:eastAsia="宋体" w:cs="宋体"/>
                <w:color w:val="auto"/>
                <w:spacing w:val="0"/>
                <w:position w:val="0"/>
                <w:sz w:val="21"/>
                <w:szCs w:val="21"/>
                <w:lang w:eastAsia="zh-CN"/>
              </w:rPr>
              <w:t>〉</w:t>
            </w:r>
            <w:r>
              <w:rPr>
                <w:rFonts w:hint="eastAsia" w:ascii="Times New Roman" w:hAnsi="Times New Roman" w:eastAsia="宋体" w:cs="宋体"/>
                <w:color w:val="000000"/>
                <w:spacing w:val="0"/>
                <w:kern w:val="0"/>
                <w:position w:val="0"/>
                <w:sz w:val="21"/>
                <w:szCs w:val="21"/>
                <w:lang w:val="en-US" w:eastAsia="zh-CN" w:bidi="ar"/>
              </w:rPr>
              <w:t>的通知》中的要求</w:t>
            </w:r>
            <w:r>
              <w:rPr>
                <w:rFonts w:hint="eastAsia" w:cs="Times New Roman"/>
                <w:color w:val="000000"/>
                <w:spacing w:val="0"/>
                <w:kern w:val="0"/>
                <w:position w:val="0"/>
                <w:sz w:val="21"/>
                <w:szCs w:val="21"/>
                <w:lang w:val="en-US" w:eastAsia="zh-CN" w:bidi="ar"/>
              </w:rPr>
              <w:t>“三、控制思路与要求：</w:t>
            </w:r>
            <w:r>
              <w:rPr>
                <w:rFonts w:hint="eastAsia" w:ascii="Times New Roman" w:hAnsi="Times New Roman" w:eastAsia="宋体" w:cs="宋体"/>
                <w:color w:val="000000"/>
                <w:spacing w:val="0"/>
                <w:kern w:val="0"/>
                <w:position w:val="0"/>
                <w:sz w:val="21"/>
                <w:szCs w:val="21"/>
                <w:lang w:val="en-US" w:eastAsia="zh-CN" w:bidi="ar"/>
              </w:rPr>
              <w:t>（二）全面加强无组织排放控制。重点对含VOC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物料（包括含VOC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原辅材料、含VOC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产品、含VOC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废料以及有机聚合物材料等）储存、转移和输送、设备与管线组件泄漏、敞开液面逸散以及工艺过程等五类排放源实施管控，通过采取设备与场所密闭、工艺改进、废气有效收集等措施，削减VOC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无组织排放。</w:t>
            </w:r>
            <w:r>
              <w:rPr>
                <w:rFonts w:hint="eastAsia" w:cs="Times New Roman"/>
                <w:color w:val="000000"/>
                <w:spacing w:val="0"/>
                <w:kern w:val="0"/>
                <w:position w:val="0"/>
                <w:sz w:val="21"/>
                <w:szCs w:val="21"/>
                <w:lang w:val="en-US" w:eastAsia="zh-CN" w:bidi="ar"/>
              </w:rPr>
              <w:t>”</w:t>
            </w:r>
          </w:p>
          <w:p w14:paraId="39F7477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宋体"/>
                <w:color w:val="000000"/>
                <w:spacing w:val="0"/>
                <w:kern w:val="0"/>
                <w:position w:val="0"/>
                <w:sz w:val="21"/>
                <w:szCs w:val="21"/>
                <w:lang w:val="en-US" w:eastAsia="zh-CN" w:bidi="ar"/>
              </w:rPr>
            </w:pPr>
            <w:r>
              <w:rPr>
                <w:rFonts w:hint="eastAsia" w:ascii="Times New Roman" w:hAnsi="Times New Roman" w:eastAsia="宋体" w:cs="宋体"/>
                <w:color w:val="000000"/>
                <w:spacing w:val="0"/>
                <w:kern w:val="0"/>
                <w:position w:val="0"/>
                <w:sz w:val="21"/>
                <w:szCs w:val="21"/>
                <w:lang w:val="en-US" w:eastAsia="zh-CN" w:bidi="ar"/>
              </w:rPr>
              <w:t>本项目在注塑挤出机上方设置集气罩，收集到的废气经</w:t>
            </w:r>
            <w:r>
              <w:rPr>
                <w:rFonts w:hint="eastAsia" w:cs="宋体"/>
                <w:color w:val="000000"/>
                <w:spacing w:val="0"/>
                <w:kern w:val="0"/>
                <w:position w:val="0"/>
                <w:sz w:val="21"/>
                <w:szCs w:val="21"/>
                <w:lang w:val="en-US" w:eastAsia="zh-CN" w:bidi="ar"/>
              </w:rPr>
              <w:t>过活性炭富集浓缩，再由</w:t>
            </w:r>
            <w:r>
              <w:rPr>
                <w:rFonts w:hint="eastAsia" w:ascii="Times New Roman" w:hAnsi="Times New Roman" w:eastAsia="宋体" w:cs="宋体"/>
                <w:color w:val="000000"/>
                <w:spacing w:val="0"/>
                <w:kern w:val="0"/>
                <w:position w:val="0"/>
                <w:sz w:val="21"/>
                <w:szCs w:val="21"/>
                <w:lang w:val="en-US" w:eastAsia="zh-CN" w:bidi="ar"/>
              </w:rPr>
              <w:t>催化燃烧器处理</w:t>
            </w:r>
            <w:r>
              <w:rPr>
                <w:rFonts w:hint="eastAsia" w:cs="宋体"/>
                <w:color w:val="000000"/>
                <w:spacing w:val="0"/>
                <w:kern w:val="0"/>
                <w:position w:val="0"/>
                <w:sz w:val="21"/>
                <w:szCs w:val="21"/>
                <w:lang w:val="en-US" w:eastAsia="zh-CN" w:bidi="ar"/>
              </w:rPr>
              <w:t>，处理</w:t>
            </w:r>
            <w:r>
              <w:rPr>
                <w:rFonts w:hint="eastAsia" w:ascii="Times New Roman" w:hAnsi="Times New Roman" w:eastAsia="宋体" w:cs="宋体"/>
                <w:color w:val="000000"/>
                <w:spacing w:val="0"/>
                <w:kern w:val="0"/>
                <w:position w:val="0"/>
                <w:sz w:val="21"/>
                <w:szCs w:val="21"/>
                <w:lang w:val="en-US" w:eastAsia="zh-CN" w:bidi="ar"/>
              </w:rPr>
              <w:t>后引至15米排气筒排放。因此，本项目的建设符合环大气</w:t>
            </w:r>
            <w:r>
              <w:rPr>
                <w:rFonts w:hint="eastAsia" w:cs="宋体"/>
                <w:color w:val="000000"/>
                <w:spacing w:val="0"/>
                <w:kern w:val="0"/>
                <w:position w:val="0"/>
                <w:sz w:val="21"/>
                <w:szCs w:val="21"/>
                <w:lang w:val="en-US" w:eastAsia="zh-CN" w:bidi="ar"/>
              </w:rPr>
              <w:t>〔2019〕53号</w:t>
            </w:r>
            <w:r>
              <w:rPr>
                <w:rFonts w:hint="eastAsia" w:ascii="Times New Roman" w:hAnsi="Times New Roman" w:eastAsia="宋体" w:cs="宋体"/>
                <w:color w:val="000000"/>
                <w:spacing w:val="0"/>
                <w:kern w:val="0"/>
                <w:position w:val="0"/>
                <w:sz w:val="21"/>
                <w:szCs w:val="21"/>
                <w:lang w:val="en-US" w:eastAsia="zh-CN" w:bidi="ar"/>
              </w:rPr>
              <w:t>《生态环境部关于印发</w:t>
            </w:r>
            <w:r>
              <w:rPr>
                <w:rFonts w:hint="eastAsia" w:ascii="Times New Roman" w:hAnsi="Times New Roman" w:eastAsia="宋体" w:cs="宋体"/>
                <w:color w:val="auto"/>
                <w:spacing w:val="0"/>
                <w:position w:val="0"/>
                <w:sz w:val="21"/>
                <w:szCs w:val="21"/>
                <w:lang w:eastAsia="zh-CN"/>
              </w:rPr>
              <w:t>〈</w:t>
            </w:r>
            <w:r>
              <w:rPr>
                <w:rFonts w:hint="eastAsia" w:ascii="Times New Roman" w:hAnsi="Times New Roman" w:eastAsia="宋体" w:cs="宋体"/>
                <w:color w:val="000000"/>
                <w:spacing w:val="0"/>
                <w:kern w:val="0"/>
                <w:position w:val="0"/>
                <w:sz w:val="21"/>
                <w:szCs w:val="21"/>
                <w:lang w:val="en-US" w:eastAsia="zh-CN" w:bidi="ar"/>
              </w:rPr>
              <w:t>重点行业挥发性有机物综合治理方案</w:t>
            </w:r>
            <w:r>
              <w:rPr>
                <w:rFonts w:hint="eastAsia" w:ascii="Times New Roman" w:hAnsi="Times New Roman" w:eastAsia="宋体" w:cs="宋体"/>
                <w:color w:val="auto"/>
                <w:spacing w:val="0"/>
                <w:position w:val="0"/>
                <w:sz w:val="21"/>
                <w:szCs w:val="21"/>
                <w:lang w:eastAsia="zh-CN"/>
              </w:rPr>
              <w:t>〉</w:t>
            </w:r>
            <w:r>
              <w:rPr>
                <w:rFonts w:hint="eastAsia" w:ascii="Times New Roman" w:hAnsi="Times New Roman" w:eastAsia="宋体" w:cs="宋体"/>
                <w:color w:val="000000"/>
                <w:spacing w:val="0"/>
                <w:kern w:val="0"/>
                <w:position w:val="0"/>
                <w:sz w:val="21"/>
                <w:szCs w:val="21"/>
                <w:lang w:val="en-US" w:eastAsia="zh-CN" w:bidi="ar"/>
              </w:rPr>
              <w:t>的通知》文件要求。</w:t>
            </w:r>
          </w:p>
          <w:p w14:paraId="727F2EC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b/>
                <w:bCs/>
                <w:color w:val="auto"/>
                <w:spacing w:val="0"/>
                <w:position w:val="0"/>
                <w:sz w:val="21"/>
                <w:szCs w:val="21"/>
                <w:lang w:val="en-US" w:eastAsia="zh-CN"/>
              </w:rPr>
            </w:pPr>
            <w:r>
              <w:rPr>
                <w:rFonts w:hint="eastAsia"/>
                <w:b/>
                <w:bCs/>
                <w:color w:val="auto"/>
                <w:spacing w:val="0"/>
                <w:position w:val="0"/>
                <w:sz w:val="21"/>
                <w:szCs w:val="21"/>
                <w:lang w:val="en-US" w:eastAsia="zh-CN"/>
              </w:rPr>
              <w:t>7</w:t>
            </w:r>
            <w:r>
              <w:rPr>
                <w:rFonts w:hint="eastAsia" w:ascii="Times New Roman" w:hAnsi="Times New Roman" w:eastAsia="宋体"/>
                <w:b/>
                <w:bCs/>
                <w:color w:val="auto"/>
                <w:spacing w:val="0"/>
                <w:position w:val="0"/>
                <w:sz w:val="21"/>
                <w:szCs w:val="21"/>
                <w:lang w:val="en-US" w:eastAsia="zh-CN"/>
              </w:rPr>
              <w:t>.2、与《挥发性有机物（VOC</w:t>
            </w:r>
            <w:r>
              <w:rPr>
                <w:rFonts w:hint="eastAsia" w:cs="宋体"/>
                <w:b/>
                <w:bCs/>
                <w:color w:val="000000"/>
                <w:spacing w:val="0"/>
                <w:kern w:val="0"/>
                <w:position w:val="0"/>
                <w:sz w:val="21"/>
                <w:szCs w:val="21"/>
                <w:vertAlign w:val="subscript"/>
                <w:lang w:val="en-US" w:eastAsia="zh-CN" w:bidi="ar"/>
              </w:rPr>
              <w:t>S</w:t>
            </w:r>
            <w:r>
              <w:rPr>
                <w:rFonts w:hint="eastAsia" w:ascii="Times New Roman" w:hAnsi="Times New Roman" w:eastAsia="宋体"/>
                <w:b/>
                <w:bCs/>
                <w:color w:val="auto"/>
                <w:spacing w:val="0"/>
                <w:position w:val="0"/>
                <w:sz w:val="21"/>
                <w:szCs w:val="21"/>
                <w:lang w:val="en-US" w:eastAsia="zh-CN"/>
              </w:rPr>
              <w:t>）污染防治技术政策》的相符性分析</w:t>
            </w:r>
          </w:p>
          <w:p w14:paraId="79A134D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宋体"/>
                <w:color w:val="000000"/>
                <w:spacing w:val="0"/>
                <w:kern w:val="0"/>
                <w:position w:val="0"/>
                <w:sz w:val="21"/>
                <w:szCs w:val="21"/>
                <w:lang w:val="en-US" w:eastAsia="zh-CN" w:bidi="ar"/>
              </w:rPr>
            </w:pPr>
            <w:r>
              <w:rPr>
                <w:rFonts w:hint="eastAsia" w:ascii="Times New Roman" w:hAnsi="Times New Roman" w:eastAsia="宋体" w:cs="宋体"/>
                <w:color w:val="000000"/>
                <w:spacing w:val="0"/>
                <w:kern w:val="0"/>
                <w:position w:val="0"/>
                <w:sz w:val="21"/>
                <w:szCs w:val="21"/>
                <w:lang w:val="en-US" w:eastAsia="zh-CN" w:bidi="ar"/>
              </w:rPr>
              <w:t>根据《挥发性有机物（VOC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）污染防治技术政策》的内容，</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对于含低浓度VOC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的废气，有回收价值时可采用吸附技术、吸收技术对有机溶剂回收后达标排放；不宜回收时，可采用吸附浓缩燃烧技术、生物技术、吸收技术、等离子体技术或紫外光高级氧化技术等净化后达标排放</w:t>
            </w:r>
            <w:r>
              <w:rPr>
                <w:rFonts w:hint="eastAsia" w:cs="宋体"/>
                <w:color w:val="000000"/>
                <w:spacing w:val="0"/>
                <w:kern w:val="0"/>
                <w:position w:val="0"/>
                <w:sz w:val="21"/>
                <w:szCs w:val="21"/>
                <w:lang w:val="en-US" w:eastAsia="zh-CN" w:bidi="ar"/>
              </w:rPr>
              <w:t>”</w:t>
            </w:r>
            <w:r>
              <w:rPr>
                <w:rFonts w:hint="eastAsia" w:ascii="Times New Roman" w:hAnsi="Times New Roman" w:eastAsia="宋体" w:cs="宋体"/>
                <w:color w:val="000000"/>
                <w:spacing w:val="0"/>
                <w:kern w:val="0"/>
                <w:position w:val="0"/>
                <w:sz w:val="21"/>
                <w:szCs w:val="21"/>
                <w:lang w:val="en-US" w:eastAsia="zh-CN" w:bidi="ar"/>
              </w:rPr>
              <w:t>。</w:t>
            </w:r>
          </w:p>
          <w:p w14:paraId="7D5558A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b/>
                <w:bCs/>
                <w:spacing w:val="0"/>
                <w:position w:val="0"/>
                <w:sz w:val="21"/>
                <w:szCs w:val="21"/>
                <w:lang w:val="en-US"/>
              </w:rPr>
            </w:pPr>
            <w:r>
              <w:rPr>
                <w:rFonts w:hint="eastAsia" w:ascii="Times New Roman" w:hAnsi="Times New Roman" w:eastAsia="宋体" w:cs="宋体"/>
                <w:color w:val="000000"/>
                <w:spacing w:val="0"/>
                <w:kern w:val="0"/>
                <w:position w:val="0"/>
                <w:sz w:val="21"/>
                <w:szCs w:val="21"/>
                <w:lang w:val="en-US" w:eastAsia="zh-CN" w:bidi="ar"/>
              </w:rPr>
              <w:t>本项目注塑挤出机产生的有机废气不具备回收条件，不宜回收</w:t>
            </w:r>
            <w:r>
              <w:rPr>
                <w:rFonts w:hint="eastAsia" w:cs="宋体"/>
                <w:color w:val="000000"/>
                <w:spacing w:val="0"/>
                <w:kern w:val="0"/>
                <w:position w:val="0"/>
                <w:sz w:val="21"/>
                <w:szCs w:val="21"/>
                <w:lang w:val="en-US" w:eastAsia="zh-CN" w:bidi="ar"/>
              </w:rPr>
              <w:t>，因此设置</w:t>
            </w:r>
            <w:r>
              <w:rPr>
                <w:rFonts w:hint="eastAsia" w:ascii="Times New Roman" w:hAnsi="Times New Roman" w:eastAsia="宋体" w:cs="宋体"/>
                <w:color w:val="000000"/>
                <w:spacing w:val="0"/>
                <w:kern w:val="0"/>
                <w:position w:val="0"/>
                <w:sz w:val="21"/>
                <w:szCs w:val="21"/>
                <w:lang w:val="en-US" w:eastAsia="zh-CN" w:bidi="ar"/>
              </w:rPr>
              <w:t>催化燃烧器处理</w:t>
            </w:r>
            <w:r>
              <w:rPr>
                <w:rFonts w:hint="eastAsia" w:cs="宋体"/>
                <w:color w:val="000000"/>
                <w:spacing w:val="0"/>
                <w:kern w:val="0"/>
                <w:position w:val="0"/>
                <w:sz w:val="21"/>
                <w:szCs w:val="21"/>
                <w:lang w:val="en-US" w:eastAsia="zh-CN" w:bidi="ar"/>
              </w:rPr>
              <w:t>，处理</w:t>
            </w:r>
            <w:r>
              <w:rPr>
                <w:rFonts w:hint="eastAsia" w:ascii="Times New Roman" w:hAnsi="Times New Roman" w:eastAsia="宋体" w:cs="宋体"/>
                <w:color w:val="000000"/>
                <w:spacing w:val="0"/>
                <w:kern w:val="0"/>
                <w:position w:val="0"/>
                <w:sz w:val="21"/>
                <w:szCs w:val="21"/>
                <w:lang w:val="en-US" w:eastAsia="zh-CN" w:bidi="ar"/>
              </w:rPr>
              <w:t>后引至15米排气筒排放。因此，本项目的建设符合《挥发性有机物（VOC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）污染防治技术政策》的要求。</w:t>
            </w:r>
          </w:p>
          <w:p w14:paraId="4526911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b/>
                <w:bCs/>
                <w:color w:val="auto"/>
                <w:spacing w:val="0"/>
                <w:position w:val="0"/>
                <w:sz w:val="21"/>
                <w:szCs w:val="21"/>
                <w:lang w:val="en-US" w:eastAsia="zh-CN"/>
              </w:rPr>
            </w:pPr>
            <w:r>
              <w:rPr>
                <w:rFonts w:hint="eastAsia"/>
                <w:b/>
                <w:bCs/>
                <w:color w:val="auto"/>
                <w:spacing w:val="0"/>
                <w:position w:val="0"/>
                <w:sz w:val="21"/>
                <w:szCs w:val="21"/>
                <w:lang w:val="en-US" w:eastAsia="zh-CN"/>
              </w:rPr>
              <w:t>7</w:t>
            </w:r>
            <w:r>
              <w:rPr>
                <w:rFonts w:hint="eastAsia" w:ascii="Times New Roman" w:hAnsi="Times New Roman" w:eastAsia="宋体"/>
                <w:b/>
                <w:bCs/>
                <w:color w:val="auto"/>
                <w:spacing w:val="0"/>
                <w:position w:val="0"/>
                <w:sz w:val="21"/>
                <w:szCs w:val="21"/>
                <w:lang w:val="en-US" w:eastAsia="zh-CN"/>
              </w:rPr>
              <w:t>.3、与国务院关于印发《空气质量持续改善行动计划》的通知（国发〔</w:t>
            </w:r>
            <w:r>
              <w:rPr>
                <w:rFonts w:hint="default" w:ascii="Times New Roman" w:hAnsi="Times New Roman" w:eastAsia="宋体"/>
                <w:b/>
                <w:bCs/>
                <w:color w:val="auto"/>
                <w:spacing w:val="0"/>
                <w:position w:val="0"/>
                <w:sz w:val="21"/>
                <w:szCs w:val="21"/>
                <w:lang w:val="en-US" w:eastAsia="zh-CN"/>
              </w:rPr>
              <w:t>2023</w:t>
            </w:r>
            <w:r>
              <w:rPr>
                <w:rFonts w:hint="eastAsia" w:ascii="Times New Roman" w:hAnsi="Times New Roman" w:eastAsia="宋体"/>
                <w:b/>
                <w:bCs/>
                <w:color w:val="auto"/>
                <w:spacing w:val="0"/>
                <w:position w:val="0"/>
                <w:sz w:val="21"/>
                <w:szCs w:val="21"/>
                <w:lang w:val="en-US" w:eastAsia="zh-CN"/>
              </w:rPr>
              <w:t>〕</w:t>
            </w:r>
            <w:r>
              <w:rPr>
                <w:rFonts w:hint="default" w:ascii="Times New Roman" w:hAnsi="Times New Roman" w:eastAsia="宋体"/>
                <w:b/>
                <w:bCs/>
                <w:color w:val="auto"/>
                <w:spacing w:val="0"/>
                <w:position w:val="0"/>
                <w:sz w:val="21"/>
                <w:szCs w:val="21"/>
                <w:lang w:val="en-US" w:eastAsia="zh-CN"/>
              </w:rPr>
              <w:t>24</w:t>
            </w:r>
            <w:r>
              <w:rPr>
                <w:rFonts w:hint="eastAsia" w:ascii="Times New Roman" w:hAnsi="Times New Roman" w:eastAsia="宋体"/>
                <w:b/>
                <w:bCs/>
                <w:color w:val="auto"/>
                <w:spacing w:val="0"/>
                <w:position w:val="0"/>
                <w:sz w:val="21"/>
                <w:szCs w:val="21"/>
                <w:lang w:val="en-US" w:eastAsia="zh-CN"/>
              </w:rPr>
              <w:t>号）符合性分析</w:t>
            </w:r>
          </w:p>
          <w:p w14:paraId="349C85D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spacing w:val="0"/>
                <w:kern w:val="0"/>
                <w:position w:val="0"/>
                <w:sz w:val="21"/>
                <w:szCs w:val="21"/>
                <w:lang w:val="en-US" w:eastAsia="zh-CN" w:bidi="ar"/>
              </w:rPr>
            </w:pPr>
            <w:r>
              <w:rPr>
                <w:rFonts w:hint="eastAsia" w:ascii="Times New Roman" w:hAnsi="Times New Roman" w:eastAsia="宋体" w:cs="宋体"/>
                <w:color w:val="000000"/>
                <w:spacing w:val="0"/>
                <w:kern w:val="0"/>
                <w:position w:val="0"/>
                <w:sz w:val="21"/>
                <w:szCs w:val="21"/>
                <w:lang w:val="en-US" w:eastAsia="zh-CN" w:bidi="ar"/>
              </w:rPr>
              <w:t>根据《空气质量持续改善行动计划》中：二、优化产业结构，促进产业产品绿色升级中，（七）优化含</w:t>
            </w:r>
            <w:r>
              <w:rPr>
                <w:rFonts w:hint="default" w:ascii="Times New Roman" w:hAnsi="Times New Roman" w:eastAsia="宋体" w:cs="宋体"/>
                <w:color w:val="000000"/>
                <w:spacing w:val="0"/>
                <w:kern w:val="0"/>
                <w:position w:val="0"/>
                <w:sz w:val="21"/>
                <w:szCs w:val="21"/>
                <w:lang w:val="en-US" w:eastAsia="zh-CN" w:bidi="ar"/>
              </w:rPr>
              <w:t>VOC</w:t>
            </w:r>
            <w:r>
              <w:rPr>
                <w:rFonts w:hint="eastAsia" w:cs="宋体"/>
                <w:color w:val="000000"/>
                <w:spacing w:val="0"/>
                <w:kern w:val="0"/>
                <w:position w:val="0"/>
                <w:sz w:val="21"/>
                <w:szCs w:val="21"/>
                <w:vertAlign w:val="subscript"/>
                <w:lang w:val="en-US" w:eastAsia="zh-CN" w:bidi="ar"/>
              </w:rPr>
              <w:t>S</w:t>
            </w:r>
            <w:r>
              <w:rPr>
                <w:rFonts w:hint="eastAsia" w:ascii="Times New Roman" w:hAnsi="Times New Roman" w:eastAsia="宋体" w:cs="宋体"/>
                <w:color w:val="000000"/>
                <w:spacing w:val="0"/>
                <w:kern w:val="0"/>
                <w:position w:val="0"/>
                <w:sz w:val="21"/>
                <w:szCs w:val="21"/>
                <w:lang w:val="en-US" w:eastAsia="zh-CN" w:bidi="ar"/>
              </w:rPr>
              <w:t>原辅材料和产品结构。严格控制生产和使用高</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含量涂料、油墨、胶粘剂、清洗剂等建设项目，提高低（无）</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含量产品比重。实施源头替代工程，加大工业涂装、包装印刷和电子行业低（无）</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含量原辅材料替代力度。室外构筑物防护和城市道路交通标志推广使用低（无）</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含量涂料。在生产、销售、进口、使用等环节严格执行</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含量限值标准。（八）推动绿色环保产业健康发展。加大政策支持力度，在低（无）</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含量原辅材料生产和使用、</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污染治理、超低排放、环境和大气成分监测等领域支持培育一批龙头企业。多措并举治理环保领域低价低质中标乱象，营造公平竞争环境，推动产业健康有序发展。六、强化多污染物减排，切实降低排放强度中（二十一）强化</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全流程、全环节综合治理。鼓励储罐使用低泄漏的呼吸阀、紧急泄压阀，定期开展密封性检测。汽车罐车推广使用密封式快速接头。污水处理场所高浓度有机废气要单独收集处理；含</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有机废水储罐、装置区集水井（池）有机废气要密闭收集处理。重点区域石化、化工行业集中的城市和重点工业园区，</w:t>
            </w:r>
            <w:r>
              <w:rPr>
                <w:rFonts w:hint="default" w:ascii="Times New Roman" w:hAnsi="Times New Roman" w:eastAsia="宋体" w:cs="宋体"/>
                <w:color w:val="000000"/>
                <w:spacing w:val="0"/>
                <w:kern w:val="0"/>
                <w:position w:val="0"/>
                <w:sz w:val="21"/>
                <w:szCs w:val="21"/>
                <w:lang w:val="en-US" w:eastAsia="zh-CN" w:bidi="ar"/>
              </w:rPr>
              <w:t>2024</w:t>
            </w:r>
            <w:r>
              <w:rPr>
                <w:rFonts w:hint="eastAsia" w:ascii="Times New Roman" w:hAnsi="Times New Roman" w:eastAsia="宋体" w:cs="宋体"/>
                <w:color w:val="000000"/>
                <w:spacing w:val="0"/>
                <w:kern w:val="0"/>
                <w:position w:val="0"/>
                <w:sz w:val="21"/>
                <w:szCs w:val="21"/>
                <w:lang w:val="en-US" w:eastAsia="zh-CN" w:bidi="ar"/>
              </w:rPr>
              <w:t>年年底前建立统一的泄漏检测与修复信息管理平台。企业开停工、检维修期间，及时收集处理退料、清洗、吹扫等作业产生的</w:t>
            </w:r>
            <w:r>
              <w:rPr>
                <w:rFonts w:hint="default" w:ascii="Times New Roman" w:hAnsi="Times New Roman" w:eastAsia="宋体" w:cs="宋体"/>
                <w:color w:val="000000"/>
                <w:spacing w:val="0"/>
                <w:kern w:val="0"/>
                <w:position w:val="0"/>
                <w:sz w:val="21"/>
                <w:szCs w:val="21"/>
                <w:lang w:val="en-US" w:eastAsia="zh-CN" w:bidi="ar"/>
              </w:rPr>
              <w:t>VOCs</w:t>
            </w:r>
            <w:r>
              <w:rPr>
                <w:rFonts w:hint="eastAsia" w:ascii="Times New Roman" w:hAnsi="Times New Roman" w:eastAsia="宋体" w:cs="宋体"/>
                <w:color w:val="000000"/>
                <w:spacing w:val="0"/>
                <w:kern w:val="0"/>
                <w:position w:val="0"/>
                <w:sz w:val="21"/>
                <w:szCs w:val="21"/>
                <w:lang w:val="en-US" w:eastAsia="zh-CN" w:bidi="ar"/>
              </w:rPr>
              <w:t>废气。企业不得将火炬燃烧装置作为日常大气污染处理设施。</w:t>
            </w:r>
          </w:p>
          <w:p w14:paraId="0A9ED65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spacing w:val="0"/>
                <w:kern w:val="0"/>
                <w:position w:val="0"/>
                <w:sz w:val="21"/>
                <w:szCs w:val="21"/>
                <w:lang w:val="en-US" w:eastAsia="zh-CN" w:bidi="ar"/>
              </w:rPr>
            </w:pPr>
            <w:r>
              <w:rPr>
                <w:rFonts w:hint="eastAsia" w:ascii="Times New Roman" w:hAnsi="Times New Roman" w:eastAsia="宋体" w:cs="宋体"/>
                <w:color w:val="000000"/>
                <w:spacing w:val="0"/>
                <w:kern w:val="0"/>
                <w:position w:val="0"/>
                <w:sz w:val="21"/>
                <w:szCs w:val="21"/>
                <w:lang w:val="en-US" w:eastAsia="zh-CN" w:bidi="ar"/>
              </w:rPr>
              <w:t>本项目运营期废气主要为</w:t>
            </w:r>
            <w:r>
              <w:rPr>
                <w:rFonts w:hint="eastAsia" w:cs="宋体"/>
                <w:color w:val="000000"/>
                <w:spacing w:val="0"/>
                <w:kern w:val="0"/>
                <w:position w:val="0"/>
                <w:sz w:val="21"/>
                <w:szCs w:val="21"/>
                <w:lang w:val="en-US" w:eastAsia="zh-CN" w:bidi="ar"/>
              </w:rPr>
              <w:t>管件、打包带</w:t>
            </w:r>
            <w:r>
              <w:rPr>
                <w:rFonts w:hint="eastAsia" w:ascii="Times New Roman" w:hAnsi="Times New Roman" w:eastAsia="宋体" w:cs="宋体"/>
                <w:color w:val="000000"/>
                <w:spacing w:val="0"/>
                <w:kern w:val="0"/>
                <w:position w:val="0"/>
                <w:sz w:val="21"/>
                <w:szCs w:val="21"/>
                <w:lang w:val="en-US" w:eastAsia="zh-CN" w:bidi="ar"/>
              </w:rPr>
              <w:t>生产工序产生的非甲烷总烃。塑料产品生产设备上各配置集气罩，有机废气收集后由催化燃烧一体化装置处理，处理后通过</w:t>
            </w:r>
            <w:r>
              <w:rPr>
                <w:rFonts w:hint="default" w:ascii="Times New Roman" w:hAnsi="Times New Roman" w:eastAsia="宋体" w:cs="Times New Roman"/>
                <w:color w:val="000000"/>
                <w:spacing w:val="0"/>
                <w:kern w:val="0"/>
                <w:position w:val="0"/>
                <w:sz w:val="21"/>
                <w:szCs w:val="21"/>
                <w:lang w:val="en-US" w:eastAsia="zh-CN" w:bidi="ar"/>
              </w:rPr>
              <w:t>15m</w:t>
            </w:r>
            <w:r>
              <w:rPr>
                <w:rFonts w:hint="eastAsia" w:ascii="Times New Roman" w:hAnsi="Times New Roman" w:eastAsia="宋体" w:cs="宋体"/>
                <w:color w:val="000000"/>
                <w:spacing w:val="0"/>
                <w:kern w:val="0"/>
                <w:position w:val="0"/>
                <w:sz w:val="21"/>
                <w:szCs w:val="21"/>
                <w:lang w:val="en-US" w:eastAsia="zh-CN" w:bidi="ar"/>
              </w:rPr>
              <w:t>排气筒（</w:t>
            </w:r>
            <w:r>
              <w:rPr>
                <w:rFonts w:hint="default" w:ascii="Times New Roman" w:hAnsi="Times New Roman" w:eastAsia="宋体" w:cs="宋体"/>
                <w:color w:val="000000"/>
                <w:spacing w:val="0"/>
                <w:kern w:val="0"/>
                <w:position w:val="0"/>
                <w:sz w:val="21"/>
                <w:szCs w:val="21"/>
                <w:lang w:val="en-US" w:eastAsia="zh-CN" w:bidi="ar"/>
              </w:rPr>
              <w:t>DA002</w:t>
            </w:r>
            <w:r>
              <w:rPr>
                <w:rFonts w:hint="eastAsia" w:ascii="Times New Roman" w:hAnsi="Times New Roman" w:eastAsia="宋体" w:cs="宋体"/>
                <w:color w:val="000000"/>
                <w:spacing w:val="0"/>
                <w:kern w:val="0"/>
                <w:position w:val="0"/>
                <w:sz w:val="21"/>
                <w:szCs w:val="21"/>
                <w:lang w:val="en-US" w:eastAsia="zh-CN" w:bidi="ar"/>
              </w:rPr>
              <w:t>）排放。非甲烷总烃排放浓度均满足</w:t>
            </w:r>
            <w:r>
              <w:rPr>
                <w:rFonts w:hint="eastAsia" w:cs="宋体"/>
                <w:color w:val="auto"/>
                <w:spacing w:val="0"/>
                <w:position w:val="0"/>
                <w:sz w:val="21"/>
                <w:szCs w:val="21"/>
                <w:lang w:val="en-US" w:eastAsia="zh-CN"/>
              </w:rPr>
              <w:t>《合成树脂工业污染物排放标准》（GB- 31572-2015）及修改单</w:t>
            </w:r>
            <w:r>
              <w:rPr>
                <w:rFonts w:hint="eastAsia" w:ascii="Times New Roman" w:hAnsi="Times New Roman" w:eastAsia="宋体" w:cs="宋体"/>
                <w:color w:val="000000"/>
                <w:spacing w:val="0"/>
                <w:kern w:val="0"/>
                <w:position w:val="0"/>
                <w:sz w:val="21"/>
                <w:szCs w:val="21"/>
                <w:lang w:val="en-US" w:eastAsia="zh-CN" w:bidi="ar"/>
              </w:rPr>
              <w:t>中大气污染物非甲烷总烃排放限值要求。项目建设符合国务院关于印发《空气质量持续改善行动计划》的通知（国发〔</w:t>
            </w:r>
            <w:r>
              <w:rPr>
                <w:rFonts w:hint="default" w:ascii="Times New Roman" w:hAnsi="Times New Roman" w:eastAsia="宋体" w:cs="宋体"/>
                <w:color w:val="000000"/>
                <w:spacing w:val="0"/>
                <w:kern w:val="0"/>
                <w:position w:val="0"/>
                <w:sz w:val="21"/>
                <w:szCs w:val="21"/>
                <w:lang w:val="en-US" w:eastAsia="zh-CN" w:bidi="ar"/>
              </w:rPr>
              <w:t>2023</w:t>
            </w:r>
            <w:r>
              <w:rPr>
                <w:rFonts w:hint="eastAsia" w:ascii="Times New Roman" w:hAnsi="Times New Roman" w:eastAsia="宋体" w:cs="宋体"/>
                <w:color w:val="000000"/>
                <w:spacing w:val="0"/>
                <w:kern w:val="0"/>
                <w:position w:val="0"/>
                <w:sz w:val="21"/>
                <w:szCs w:val="21"/>
                <w:lang w:val="en-US" w:eastAsia="zh-CN" w:bidi="ar"/>
              </w:rPr>
              <w:t>〕</w:t>
            </w:r>
            <w:r>
              <w:rPr>
                <w:rFonts w:hint="default" w:ascii="Times New Roman" w:hAnsi="Times New Roman" w:eastAsia="宋体" w:cs="宋体"/>
                <w:color w:val="000000"/>
                <w:spacing w:val="0"/>
                <w:kern w:val="0"/>
                <w:position w:val="0"/>
                <w:sz w:val="21"/>
                <w:szCs w:val="21"/>
                <w:lang w:val="en-US" w:eastAsia="zh-CN" w:bidi="ar"/>
              </w:rPr>
              <w:t>24</w:t>
            </w:r>
            <w:r>
              <w:rPr>
                <w:rFonts w:hint="eastAsia" w:ascii="Times New Roman" w:hAnsi="Times New Roman" w:eastAsia="宋体" w:cs="宋体"/>
                <w:color w:val="000000"/>
                <w:spacing w:val="0"/>
                <w:kern w:val="0"/>
                <w:position w:val="0"/>
                <w:sz w:val="21"/>
                <w:szCs w:val="21"/>
                <w:lang w:val="en-US" w:eastAsia="zh-CN" w:bidi="ar"/>
              </w:rPr>
              <w:t>号）中相关要求。</w:t>
            </w:r>
          </w:p>
          <w:p w14:paraId="4003237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b/>
                <w:bCs/>
                <w:color w:val="auto"/>
                <w:spacing w:val="0"/>
                <w:position w:val="0"/>
                <w:sz w:val="21"/>
                <w:szCs w:val="21"/>
                <w:lang w:val="en-US" w:eastAsia="zh-CN"/>
              </w:rPr>
            </w:pPr>
            <w:r>
              <w:rPr>
                <w:rFonts w:hint="eastAsia"/>
                <w:b/>
                <w:bCs/>
                <w:color w:val="auto"/>
                <w:spacing w:val="0"/>
                <w:position w:val="0"/>
                <w:sz w:val="21"/>
                <w:szCs w:val="21"/>
                <w:lang w:val="en-US" w:eastAsia="zh-CN"/>
              </w:rPr>
              <w:t>7.4与</w:t>
            </w:r>
            <w:r>
              <w:rPr>
                <w:rFonts w:hint="default"/>
                <w:b/>
                <w:bCs/>
                <w:color w:val="auto"/>
                <w:spacing w:val="0"/>
                <w:position w:val="0"/>
                <w:sz w:val="21"/>
                <w:szCs w:val="21"/>
                <w:lang w:val="en-US" w:eastAsia="zh-CN"/>
              </w:rPr>
              <w:t>《合成树脂工业污染物排放标准》（GB31572-2015）及修改单</w:t>
            </w:r>
            <w:r>
              <w:rPr>
                <w:rFonts w:hint="eastAsia"/>
                <w:b/>
                <w:bCs/>
                <w:color w:val="auto"/>
                <w:spacing w:val="0"/>
                <w:position w:val="0"/>
                <w:sz w:val="21"/>
                <w:szCs w:val="21"/>
                <w:lang w:val="en-US" w:eastAsia="zh-CN"/>
              </w:rPr>
              <w:t>的符合性分析</w:t>
            </w:r>
          </w:p>
          <w:p w14:paraId="6CB8BB0A">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宋体"/>
                <w:b w:val="0"/>
                <w:bCs w:val="0"/>
                <w:color w:val="000000"/>
                <w:spacing w:val="0"/>
                <w:kern w:val="0"/>
                <w:position w:val="0"/>
                <w:sz w:val="21"/>
                <w:szCs w:val="21"/>
                <w:lang w:val="en-US" w:eastAsia="zh-CN" w:bidi="ar"/>
              </w:rPr>
            </w:pPr>
            <w:r>
              <w:rPr>
                <w:rFonts w:hint="eastAsia" w:ascii="Times New Roman" w:hAnsi="Times New Roman" w:eastAsia="宋体" w:cs="宋体"/>
                <w:b w:val="0"/>
                <w:bCs w:val="0"/>
                <w:color w:val="000000"/>
                <w:spacing w:val="0"/>
                <w:kern w:val="0"/>
                <w:position w:val="0"/>
                <w:sz w:val="21"/>
                <w:szCs w:val="21"/>
                <w:lang w:val="en-US" w:eastAsia="zh-CN" w:bidi="ar"/>
              </w:rPr>
              <w:t>根据</w:t>
            </w:r>
            <w:r>
              <w:rPr>
                <w:rFonts w:hint="default"/>
                <w:b w:val="0"/>
                <w:bCs w:val="0"/>
                <w:color w:val="auto"/>
                <w:spacing w:val="0"/>
                <w:position w:val="0"/>
                <w:sz w:val="21"/>
                <w:szCs w:val="21"/>
                <w:lang w:val="en-US" w:eastAsia="zh-CN"/>
              </w:rPr>
              <w:t>《</w:t>
            </w:r>
            <w:r>
              <w:rPr>
                <w:rFonts w:hint="default" w:ascii="Times New Roman" w:hAnsi="Times New Roman" w:eastAsia="宋体" w:cs="宋体"/>
                <w:b w:val="0"/>
                <w:bCs w:val="0"/>
                <w:color w:val="000000"/>
                <w:spacing w:val="0"/>
                <w:kern w:val="0"/>
                <w:position w:val="0"/>
                <w:sz w:val="21"/>
                <w:szCs w:val="21"/>
                <w:lang w:val="en-US" w:eastAsia="zh-CN" w:bidi="ar"/>
              </w:rPr>
              <w:t>合成树脂工业污染物排放标准》（GB31572-2015）及修改单</w:t>
            </w:r>
            <w:r>
              <w:rPr>
                <w:rFonts w:hint="eastAsia" w:ascii="Times New Roman" w:hAnsi="Times New Roman" w:eastAsia="宋体" w:cs="宋体"/>
                <w:b w:val="0"/>
                <w:bCs w:val="0"/>
                <w:color w:val="000000"/>
                <w:spacing w:val="0"/>
                <w:kern w:val="0"/>
                <w:position w:val="0"/>
                <w:sz w:val="21"/>
                <w:szCs w:val="21"/>
                <w:lang w:val="en-US" w:eastAsia="zh-CN" w:bidi="ar"/>
              </w:rPr>
              <w:t>中“5.4.3 废气收集系统</w:t>
            </w:r>
            <w:r>
              <w:rPr>
                <w:rFonts w:hint="eastAsia"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废气收集系统需满足以下要求:a</w:t>
            </w:r>
            <w:r>
              <w:rPr>
                <w:rFonts w:hint="eastAsia"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生产设施应采用密闭式，并具有与废气收集系统有效连接的部件或装置。b</w:t>
            </w:r>
            <w:r>
              <w:rPr>
                <w:rFonts w:hint="eastAsia"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根据生产工艺操作方式以及废气性质、处理和处置方法，设置不同的废气收集系统，尽可能对废气进行分质收集，各个废收集系统均应实现压力损失平衡以及较高的收集效率。c</w:t>
            </w:r>
            <w:r>
              <w:rPr>
                <w:rFonts w:hint="eastAsia"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废气收集系统应综合考虑防火、防爆、防腐蚀、耐高温、防结露、防堵塞等问题。”</w:t>
            </w:r>
          </w:p>
          <w:p w14:paraId="587579BC">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宋体"/>
                <w:b w:val="0"/>
                <w:bCs w:val="0"/>
                <w:color w:val="000000"/>
                <w:spacing w:val="0"/>
                <w:kern w:val="0"/>
                <w:position w:val="0"/>
                <w:sz w:val="21"/>
                <w:szCs w:val="21"/>
                <w:lang w:val="en-US" w:eastAsia="zh-CN" w:bidi="ar"/>
              </w:rPr>
            </w:pPr>
            <w:r>
              <w:rPr>
                <w:rFonts w:hint="eastAsia" w:ascii="Times New Roman" w:hAnsi="Times New Roman" w:eastAsia="宋体" w:cs="宋体"/>
                <w:b w:val="0"/>
                <w:bCs w:val="0"/>
                <w:color w:val="000000"/>
                <w:spacing w:val="0"/>
                <w:kern w:val="0"/>
                <w:position w:val="0"/>
                <w:sz w:val="21"/>
                <w:szCs w:val="21"/>
                <w:lang w:val="en-US" w:eastAsia="zh-CN" w:bidi="ar"/>
              </w:rPr>
              <w:t>本项目运营过程产生废气工序均已配备相应环保措施，破碎、混料产生的颗粒物由集气罩+布袋除尘器处理，挤出产生的有机废气由集气罩+活性炭吸附脱附+催化燃烧器处理，集气罩上方均分别安装一台引风机，集气罩四周设置软帘，废气收集系统集气罩开口面最远处的粉尘无组织排放位置控制风速不低于0.3m/s，参考《主要污染物总量减排核算技术指南》（2022年修订）表 2-3中密闭式集尘罩收集效率并结合设计，本项目进料口、筛分口收尘效率不低于90%,废气处理后再由15m高排气筒（DA001/DA002）排出，因此本项目符合</w:t>
            </w:r>
            <w:r>
              <w:rPr>
                <w:rFonts w:hint="default"/>
                <w:b w:val="0"/>
                <w:bCs w:val="0"/>
                <w:color w:val="auto"/>
                <w:spacing w:val="0"/>
                <w:position w:val="0"/>
                <w:sz w:val="21"/>
                <w:szCs w:val="21"/>
                <w:lang w:val="en-US" w:eastAsia="zh-CN"/>
              </w:rPr>
              <w:t>《</w:t>
            </w:r>
            <w:r>
              <w:rPr>
                <w:rFonts w:hint="default" w:ascii="Times New Roman" w:hAnsi="Times New Roman" w:eastAsia="宋体" w:cs="宋体"/>
                <w:b w:val="0"/>
                <w:bCs w:val="0"/>
                <w:color w:val="000000"/>
                <w:spacing w:val="0"/>
                <w:kern w:val="0"/>
                <w:position w:val="0"/>
                <w:sz w:val="21"/>
                <w:szCs w:val="21"/>
                <w:lang w:val="en-US" w:eastAsia="zh-CN" w:bidi="ar"/>
              </w:rPr>
              <w:t>合成树脂工业污染物排放标准》（GB31572-2015）及修改单</w:t>
            </w:r>
            <w:r>
              <w:rPr>
                <w:rFonts w:hint="eastAsia" w:ascii="Times New Roman" w:hAnsi="Times New Roman" w:eastAsia="宋体" w:cs="宋体"/>
                <w:b w:val="0"/>
                <w:bCs w:val="0"/>
                <w:color w:val="000000"/>
                <w:spacing w:val="0"/>
                <w:kern w:val="0"/>
                <w:position w:val="0"/>
                <w:sz w:val="21"/>
                <w:szCs w:val="21"/>
                <w:lang w:val="en-US" w:eastAsia="zh-CN" w:bidi="ar"/>
              </w:rPr>
              <w:t>的要求。</w:t>
            </w:r>
          </w:p>
          <w:p w14:paraId="660E9EA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b/>
                <w:bCs/>
                <w:color w:val="auto"/>
                <w:spacing w:val="0"/>
                <w:position w:val="0"/>
                <w:sz w:val="21"/>
                <w:szCs w:val="21"/>
                <w:lang w:val="en-US" w:eastAsia="zh-CN"/>
              </w:rPr>
            </w:pPr>
            <w:r>
              <w:rPr>
                <w:rFonts w:hint="eastAsia"/>
                <w:b/>
                <w:bCs/>
                <w:color w:val="auto"/>
                <w:spacing w:val="0"/>
                <w:position w:val="0"/>
                <w:sz w:val="21"/>
                <w:szCs w:val="21"/>
                <w:lang w:val="en-US" w:eastAsia="zh-CN"/>
              </w:rPr>
              <w:t>7.5与</w:t>
            </w:r>
            <w:r>
              <w:rPr>
                <w:rFonts w:hint="default"/>
                <w:b/>
                <w:bCs/>
                <w:color w:val="auto"/>
                <w:spacing w:val="0"/>
                <w:position w:val="0"/>
                <w:sz w:val="21"/>
                <w:szCs w:val="21"/>
                <w:lang w:val="en-US" w:eastAsia="zh-CN"/>
              </w:rPr>
              <w:t>《挥发性有机物无组织排放控制标准》（GB37822—2019）</w:t>
            </w:r>
            <w:r>
              <w:rPr>
                <w:rFonts w:hint="eastAsia"/>
                <w:b/>
                <w:bCs/>
                <w:color w:val="auto"/>
                <w:spacing w:val="0"/>
                <w:position w:val="0"/>
                <w:sz w:val="21"/>
                <w:szCs w:val="21"/>
                <w:lang w:val="en-US" w:eastAsia="zh-CN"/>
              </w:rPr>
              <w:t>的符合性分析</w:t>
            </w:r>
          </w:p>
          <w:p w14:paraId="51042E11">
            <w:pPr>
              <w:pStyle w:val="5"/>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宋体"/>
                <w:b w:val="0"/>
                <w:bCs w:val="0"/>
                <w:color w:val="000000"/>
                <w:spacing w:val="0"/>
                <w:kern w:val="0"/>
                <w:position w:val="0"/>
                <w:sz w:val="21"/>
                <w:szCs w:val="21"/>
                <w:lang w:val="en-US" w:eastAsia="zh-CN" w:bidi="ar"/>
              </w:rPr>
            </w:pPr>
            <w:r>
              <w:rPr>
                <w:rFonts w:hint="eastAsia" w:ascii="Times New Roman" w:hAnsi="Times New Roman" w:eastAsia="宋体" w:cs="宋体"/>
                <w:b w:val="0"/>
                <w:bCs w:val="0"/>
                <w:color w:val="000000"/>
                <w:spacing w:val="0"/>
                <w:kern w:val="0"/>
                <w:position w:val="0"/>
                <w:sz w:val="21"/>
                <w:szCs w:val="21"/>
                <w:lang w:val="en-US" w:eastAsia="zh-CN" w:bidi="ar"/>
              </w:rPr>
              <w:t>根据</w:t>
            </w:r>
            <w:r>
              <w:rPr>
                <w:rFonts w:hint="default" w:ascii="Times New Roman" w:hAnsi="Times New Roman" w:eastAsia="宋体" w:cs="宋体"/>
                <w:b w:val="0"/>
                <w:bCs w:val="0"/>
                <w:color w:val="000000"/>
                <w:spacing w:val="0"/>
                <w:kern w:val="0"/>
                <w:position w:val="0"/>
                <w:sz w:val="21"/>
                <w:szCs w:val="21"/>
                <w:lang w:val="en-US" w:eastAsia="zh-CN" w:bidi="ar"/>
              </w:rPr>
              <w:t>《挥发性有机物无组织排放控制标准》（GB37822—2019）</w:t>
            </w:r>
            <w:r>
              <w:rPr>
                <w:rFonts w:hint="eastAsia" w:ascii="Times New Roman" w:hAnsi="Times New Roman" w:eastAsia="宋体" w:cs="宋体"/>
                <w:b w:val="0"/>
                <w:bCs w:val="0"/>
                <w:color w:val="000000"/>
                <w:spacing w:val="0"/>
                <w:kern w:val="0"/>
                <w:position w:val="0"/>
                <w:sz w:val="21"/>
                <w:szCs w:val="21"/>
                <w:lang w:val="en-US" w:eastAsia="zh-CN" w:bidi="ar"/>
              </w:rPr>
              <w:t>中“7.1.1</w:t>
            </w:r>
            <w:r>
              <w:rPr>
                <w:rFonts w:hint="default" w:ascii="Times New Roman" w:hAnsi="Times New Roman" w:eastAsia="宋体" w:cs="宋体"/>
                <w:b w:val="0"/>
                <w:bCs w:val="0"/>
                <w:color w:val="000000"/>
                <w:spacing w:val="0"/>
                <w:kern w:val="0"/>
                <w:position w:val="0"/>
                <w:sz w:val="21"/>
                <w:szCs w:val="21"/>
                <w:lang w:val="en-US" w:eastAsia="zh-CN" w:bidi="ar"/>
              </w:rPr>
              <w:t>VOCs</w:t>
            </w:r>
            <w:r>
              <w:rPr>
                <w:rFonts w:hint="eastAsia" w:ascii="Times New Roman" w:hAnsi="Times New Roman" w:eastAsia="宋体" w:cs="宋体"/>
                <w:b w:val="0"/>
                <w:bCs w:val="0"/>
                <w:color w:val="000000"/>
                <w:spacing w:val="0"/>
                <w:kern w:val="0"/>
                <w:position w:val="0"/>
                <w:sz w:val="21"/>
                <w:szCs w:val="21"/>
                <w:lang w:val="en-US" w:eastAsia="zh-CN" w:bidi="ar"/>
              </w:rPr>
              <w:t>无组织排放要求，b</w:t>
            </w:r>
            <w:r>
              <w:rPr>
                <w:rFonts w:hint="default" w:ascii="Times New Roman" w:hAnsi="Times New Roman" w:eastAsia="宋体"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粉状、粒状 VOCs物料应采用气力输送方式或采用密闭固体投料器等给料方式密闭投加。无法密闭投加的，应在密闭空间内操作，或进行局部气体收集，废气应排至除尘设施、VOCs废气收集处理系统。”及“9.3循环冷却水系统要求，对开式循环冷却水系统，每6个月对流经换热器进口和出口的循环冷却水中的总有机碳</w:t>
            </w:r>
            <w:r>
              <w:rPr>
                <w:rFonts w:hint="default" w:ascii="Times New Roman" w:hAnsi="Times New Roman" w:eastAsia="宋体"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TOC</w:t>
            </w:r>
            <w:r>
              <w:rPr>
                <w:rFonts w:hint="default" w:ascii="Times New Roman" w:hAnsi="Times New Roman" w:eastAsia="宋体" w:cs="宋体"/>
                <w:b w:val="0"/>
                <w:bCs w:val="0"/>
                <w:color w:val="000000"/>
                <w:spacing w:val="0"/>
                <w:kern w:val="0"/>
                <w:position w:val="0"/>
                <w:sz w:val="21"/>
                <w:szCs w:val="21"/>
                <w:lang w:val="en-US" w:eastAsia="zh-CN" w:bidi="ar"/>
              </w:rPr>
              <w:t>）</w:t>
            </w:r>
            <w:r>
              <w:rPr>
                <w:rFonts w:hint="eastAsia" w:ascii="Times New Roman" w:hAnsi="Times New Roman" w:eastAsia="宋体" w:cs="宋体"/>
                <w:b w:val="0"/>
                <w:bCs w:val="0"/>
                <w:color w:val="000000"/>
                <w:spacing w:val="0"/>
                <w:kern w:val="0"/>
                <w:position w:val="0"/>
                <w:sz w:val="21"/>
                <w:szCs w:val="21"/>
                <w:lang w:val="en-US" w:eastAsia="zh-CN" w:bidi="ar"/>
              </w:rPr>
              <w:t>浓度进行检测，若出口浓度大于进口浓度10%，则认定发生了泄漏，应按照84条、8.5条规定进行泄漏源修复与记录。”</w:t>
            </w:r>
          </w:p>
          <w:p w14:paraId="023D6CD8">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宋体"/>
                <w:b w:val="0"/>
                <w:bCs w:val="0"/>
                <w:color w:val="000000"/>
                <w:spacing w:val="0"/>
                <w:kern w:val="0"/>
                <w:position w:val="0"/>
                <w:sz w:val="21"/>
                <w:szCs w:val="21"/>
                <w:lang w:val="en-US" w:eastAsia="zh-CN" w:bidi="ar"/>
              </w:rPr>
            </w:pPr>
            <w:r>
              <w:rPr>
                <w:rFonts w:hint="eastAsia" w:ascii="Times New Roman" w:hAnsi="Times New Roman" w:eastAsia="宋体" w:cs="宋体"/>
                <w:b w:val="0"/>
                <w:bCs w:val="0"/>
                <w:color w:val="000000"/>
                <w:spacing w:val="0"/>
                <w:kern w:val="0"/>
                <w:position w:val="0"/>
                <w:sz w:val="21"/>
                <w:szCs w:val="21"/>
                <w:lang w:val="en-US" w:eastAsia="zh-CN" w:bidi="ar"/>
              </w:rPr>
              <w:t>本项目</w:t>
            </w:r>
            <w:r>
              <w:rPr>
                <w:rFonts w:hint="eastAsia" w:cs="宋体"/>
                <w:b w:val="0"/>
                <w:bCs w:val="0"/>
                <w:color w:val="000000"/>
                <w:spacing w:val="0"/>
                <w:kern w:val="0"/>
                <w:position w:val="0"/>
                <w:sz w:val="21"/>
                <w:szCs w:val="21"/>
                <w:lang w:val="en-US" w:eastAsia="zh-CN" w:bidi="ar"/>
              </w:rPr>
              <w:t>投加物料为人工操作，过程中不会产生有机废气，但是产品加热挤出时会产生有机废气，本项目在生产设备上方设置集气罩，集气罩加装软帘，收集到的有机废气排入活性炭吸附脱附装置，再由催化燃烧器处理，此工艺为业内先进水平工艺。本项目的冷却系统为封闭式间接冷却，冷却水不会直接接触产品，并且在密闭空间内，不会产生水量的蒸发消耗，冷却水可以循环使用。因此本项目符合</w:t>
            </w:r>
            <w:r>
              <w:rPr>
                <w:rFonts w:hint="default" w:cs="宋体"/>
                <w:b w:val="0"/>
                <w:bCs w:val="0"/>
                <w:color w:val="000000"/>
                <w:spacing w:val="0"/>
                <w:kern w:val="0"/>
                <w:position w:val="0"/>
                <w:sz w:val="21"/>
                <w:szCs w:val="21"/>
                <w:lang w:val="en-US" w:eastAsia="zh-CN" w:bidi="ar"/>
              </w:rPr>
              <w:t>《挥发性有机物无组织排放控制标准》（GB37822—2019）</w:t>
            </w:r>
            <w:r>
              <w:rPr>
                <w:rFonts w:hint="eastAsia" w:cs="宋体"/>
                <w:b w:val="0"/>
                <w:bCs w:val="0"/>
                <w:color w:val="000000"/>
                <w:spacing w:val="0"/>
                <w:kern w:val="0"/>
                <w:position w:val="0"/>
                <w:sz w:val="21"/>
                <w:szCs w:val="21"/>
                <w:lang w:val="en-US" w:eastAsia="zh-CN" w:bidi="ar"/>
              </w:rPr>
              <w:t>的要求。</w:t>
            </w:r>
          </w:p>
          <w:p w14:paraId="05A19179">
            <w:pPr>
              <w:rPr>
                <w:rFonts w:hint="default"/>
                <w:lang w:val="en-US"/>
              </w:rPr>
            </w:pPr>
          </w:p>
        </w:tc>
      </w:tr>
    </w:tbl>
    <w:p w14:paraId="4DAE7729">
      <w:pPr>
        <w:spacing w:line="360" w:lineRule="auto"/>
        <w:ind w:firstLine="600"/>
        <w:outlineLvl w:val="0"/>
        <w:rPr>
          <w:rFonts w:eastAsia="黑体"/>
          <w:color w:val="0000FF"/>
          <w:spacing w:val="0"/>
          <w:position w:val="0"/>
          <w:sz w:val="21"/>
          <w:szCs w:val="21"/>
        </w:rPr>
        <w:sectPr>
          <w:footerReference r:id="rId12"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55FD43B">
      <w:pPr>
        <w:pStyle w:val="25"/>
        <w:ind w:firstLine="0" w:firstLineChars="0"/>
        <w:jc w:val="center"/>
        <w:outlineLvl w:val="0"/>
        <w:rPr>
          <w:rFonts w:ascii="Times New Roman" w:hAnsi="Times New Roman" w:eastAsia="黑体"/>
          <w:snapToGrid w:val="0"/>
          <w:color w:val="auto"/>
          <w:spacing w:val="0"/>
          <w:position w:val="0"/>
          <w:sz w:val="30"/>
          <w:szCs w:val="30"/>
        </w:rPr>
      </w:pPr>
      <w:r>
        <w:rPr>
          <w:rFonts w:hint="eastAsia" w:ascii="Times New Roman" w:hAnsi="Times New Roman" w:eastAsia="黑体"/>
          <w:snapToGrid w:val="0"/>
          <w:color w:val="auto"/>
          <w:spacing w:val="0"/>
          <w:position w:val="0"/>
          <w:sz w:val="30"/>
          <w:szCs w:val="30"/>
        </w:rPr>
        <w:t>二、</w:t>
      </w:r>
      <w:r>
        <w:rPr>
          <w:rFonts w:ascii="Times New Roman" w:hAnsi="Times New Roman" w:eastAsia="黑体"/>
          <w:snapToGrid w:val="0"/>
          <w:color w:val="auto"/>
          <w:spacing w:val="0"/>
          <w:position w:val="0"/>
          <w:sz w:val="30"/>
          <w:szCs w:val="30"/>
        </w:rPr>
        <w:t>建设项目工程分析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602"/>
      </w:tblGrid>
      <w:tr w14:paraId="65B9F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Align w:val="center"/>
          </w:tcPr>
          <w:p w14:paraId="0527B5A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B53A89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671284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FB624B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A511C5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58A74C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7B124E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594842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711A22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5A3D9A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25400A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CFEE37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3BB8A5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1AFC4A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2A8226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E73AE7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9704D7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EB4A40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BDD8DA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A33450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8201A5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278F43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74E288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16AC028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23BD78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684C04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567AD9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7EC71B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6CECC5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876493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99BAD3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A46755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9608E2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5F69C0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865D1E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19C559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EEADB4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BF00CB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434384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8C4A1C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CDBEA8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7A05CA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513ADF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A63DB6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E3381B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0EA4F5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FBEA9E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6EE33D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1465E5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1C4EAF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75FF54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1C26B5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EFB887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91B053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95D909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521FFC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33383A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24EE3B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86F426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33A03B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71A7E0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73C6E6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8EEAC7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E8D393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F4E2C3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FFB8DF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D8E8C2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52C169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789068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51C535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7BD6DE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9A94E5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C0C473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53E01F9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4B48D3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C7C8B6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C383CE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AB969E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F36900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C97539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44A386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202F74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150734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FDA7DD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00F045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14A2F6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9A6009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A75E87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8F2A1B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BF1E37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120B33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7FA700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9CD5B0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5F1B77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3F75E5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9078F6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5499C1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7F74EFB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E6E544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A1F83A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90A098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2DE3FC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D96418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29B352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DF5172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50B181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5713AF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88B3F0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7E7FA0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F63DC0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7B3C22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109FBB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5DD3C4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25A0FCC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0409DDC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84C445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474090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4A17716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4AA76C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33842A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3C139E2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6249258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18D7DC0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p>
          <w:p w14:paraId="51755A8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55AD4C8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25A7C62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4CD5164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03E7E16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4D21E4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C8DFE4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09FB1E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C96E24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84090B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583C3A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952CA5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6CF276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9F66AE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67674D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EB1CDA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8E0B9B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0F764A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584D4B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A90334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575AD7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6FF06A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CD9928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0C04F2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7A76F5B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7A50F3E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CF6CAC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A54015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04A38C4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1FFEC7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736A0BF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38FE31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A91A4A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9CF076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DAF36F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B51A5F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F8809A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8690DA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F1E798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A9E1BA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C1112A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64E569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3554E6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A3DFD0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5B60B8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CCF523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7ACC851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73A672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75F668D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6637B08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420A937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7DA444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5939A51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865081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0D8A700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112F67B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518B05A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3547424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auto"/>
              <w:rPr>
                <w:rFonts w:ascii="Times New Roman" w:hAnsi="Times New Roman"/>
                <w:color w:val="auto"/>
                <w:spacing w:val="0"/>
                <w:position w:val="0"/>
                <w:sz w:val="21"/>
                <w:szCs w:val="21"/>
              </w:rPr>
            </w:pPr>
          </w:p>
          <w:p w14:paraId="26748A2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799789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2F40AD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609F5A2">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98693D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EAC788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43BD4A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4C4224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7F2942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9C1712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FBC770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09D0B6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FD34083">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148284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74A01C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16E308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98DD4A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718C1E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7AE61A7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582FB90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714A1CF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CDC6BB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7B0D84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166122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11589A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CC56F4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88CBFCA">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C44D9E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0A7842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0793F0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4C44E7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B9494D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3A18B5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42EA3FA">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AD32DC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05DAA2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2717C7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6B8CC6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C4C8F1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745EA6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6F4FCC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78936A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55D1E1A">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8EE03E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34C32D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A2E6AA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42AAA88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建设内容</w:t>
            </w:r>
          </w:p>
          <w:p w14:paraId="5EB6984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ascii="Times New Roman" w:hAnsi="Times New Roman"/>
                <w:color w:val="auto"/>
                <w:spacing w:val="0"/>
                <w:position w:val="0"/>
                <w:sz w:val="21"/>
                <w:szCs w:val="21"/>
              </w:rPr>
            </w:pPr>
          </w:p>
          <w:p w14:paraId="1B5284E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15956A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8AE23C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5459F3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430AEB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9F60C2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33B33C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713A51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tc>
        <w:tc>
          <w:tcPr>
            <w:tcW w:w="4746" w:type="pct"/>
          </w:tcPr>
          <w:p w14:paraId="46BFA0A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rFonts w:hint="default"/>
                <w:b/>
                <w:bCs/>
                <w:color w:val="auto"/>
                <w:spacing w:val="0"/>
                <w:position w:val="0"/>
                <w:sz w:val="21"/>
                <w:szCs w:val="21"/>
                <w:lang w:val="en-US" w:eastAsia="zh-CN"/>
              </w:rPr>
            </w:pPr>
            <w:r>
              <w:rPr>
                <w:rFonts w:hint="eastAsia"/>
                <w:b/>
                <w:bCs/>
                <w:color w:val="auto"/>
                <w:spacing w:val="0"/>
                <w:position w:val="0"/>
                <w:sz w:val="21"/>
                <w:szCs w:val="21"/>
                <w:lang w:val="en-US" w:eastAsia="zh-CN"/>
              </w:rPr>
              <w:t>1建设项目情况</w:t>
            </w:r>
          </w:p>
          <w:p w14:paraId="332D4C17">
            <w:pPr>
              <w:keepNext w:val="0"/>
              <w:keepLines w:val="0"/>
              <w:pageBreakBefore w:val="0"/>
              <w:widowControl w:val="0"/>
              <w:kinsoku/>
              <w:wordWrap/>
              <w:topLinePunct w:val="0"/>
              <w:bidi w:val="0"/>
              <w:snapToGrid/>
              <w:spacing w:line="360" w:lineRule="auto"/>
              <w:ind w:firstLine="420" w:firstLineChars="200"/>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本</w:t>
            </w:r>
            <w:r>
              <w:rPr>
                <w:rFonts w:hint="default" w:ascii="Times New Roman" w:hAnsi="Times New Roman" w:eastAsia="宋体" w:cs="Times New Roman"/>
                <w:color w:val="auto"/>
                <w:spacing w:val="0"/>
                <w:position w:val="0"/>
                <w:sz w:val="21"/>
                <w:szCs w:val="21"/>
              </w:rPr>
              <w:t>项目名称：秦丰环保科技有限公司PPR塑料管加工生产线项目；</w:t>
            </w:r>
          </w:p>
          <w:p w14:paraId="67CD3625">
            <w:pPr>
              <w:keepNext w:val="0"/>
              <w:keepLines w:val="0"/>
              <w:pageBreakBefore w:val="0"/>
              <w:widowControl w:val="0"/>
              <w:kinsoku/>
              <w:wordWrap/>
              <w:topLinePunct w:val="0"/>
              <w:bidi w:val="0"/>
              <w:snapToGrid/>
              <w:spacing w:line="360" w:lineRule="auto"/>
              <w:ind w:firstLine="420" w:firstLineChars="20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建设单位：</w:t>
            </w:r>
            <w:r>
              <w:rPr>
                <w:rFonts w:hint="default"/>
                <w:color w:val="auto"/>
                <w:spacing w:val="0"/>
                <w:position w:val="0"/>
                <w:sz w:val="21"/>
                <w:szCs w:val="21"/>
                <w:lang w:val="en-US" w:eastAsia="zh-CN"/>
              </w:rPr>
              <w:t>奎屯秦丰环保科技有限公司</w:t>
            </w:r>
            <w:r>
              <w:rPr>
                <w:rFonts w:hint="default" w:ascii="Times New Roman" w:hAnsi="Times New Roman" w:eastAsia="宋体" w:cs="Times New Roman"/>
                <w:color w:val="auto"/>
                <w:spacing w:val="0"/>
                <w:position w:val="0"/>
                <w:sz w:val="21"/>
                <w:szCs w:val="21"/>
              </w:rPr>
              <w:t>；</w:t>
            </w:r>
          </w:p>
          <w:p w14:paraId="6AB01619">
            <w:pPr>
              <w:keepNext w:val="0"/>
              <w:keepLines w:val="0"/>
              <w:pageBreakBefore w:val="0"/>
              <w:widowControl w:val="0"/>
              <w:kinsoku/>
              <w:wordWrap/>
              <w:topLinePunct w:val="0"/>
              <w:bidi w:val="0"/>
              <w:snapToGrid/>
              <w:spacing w:line="360" w:lineRule="auto"/>
              <w:ind w:firstLine="420" w:firstLineChars="20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建设性质：</w:t>
            </w:r>
            <w:r>
              <w:rPr>
                <w:rFonts w:hint="eastAsia" w:cs="Times New Roman"/>
                <w:color w:val="auto"/>
                <w:spacing w:val="0"/>
                <w:position w:val="0"/>
                <w:sz w:val="21"/>
                <w:szCs w:val="21"/>
                <w:lang w:val="en-US" w:eastAsia="zh-CN"/>
              </w:rPr>
              <w:t>扩</w:t>
            </w:r>
            <w:r>
              <w:rPr>
                <w:rFonts w:hint="default" w:ascii="Times New Roman" w:hAnsi="Times New Roman" w:eastAsia="宋体" w:cs="Times New Roman"/>
                <w:color w:val="auto"/>
                <w:spacing w:val="0"/>
                <w:position w:val="0"/>
                <w:sz w:val="21"/>
                <w:szCs w:val="21"/>
              </w:rPr>
              <w:t>建；</w:t>
            </w:r>
          </w:p>
          <w:p w14:paraId="79F5F3E1">
            <w:pPr>
              <w:keepNext w:val="0"/>
              <w:keepLines w:val="0"/>
              <w:pageBreakBefore w:val="0"/>
              <w:widowControl w:val="0"/>
              <w:kinsoku/>
              <w:wordWrap/>
              <w:topLinePunct w:val="0"/>
              <w:autoSpaceDE w:val="0"/>
              <w:autoSpaceDN w:val="0"/>
              <w:bidi w:val="0"/>
              <w:snapToGrid/>
              <w:spacing w:line="360" w:lineRule="auto"/>
              <w:ind w:firstLine="420" w:firstLineChars="20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项目规模：</w:t>
            </w:r>
            <w:r>
              <w:rPr>
                <w:rFonts w:hint="eastAsia"/>
                <w:color w:val="auto"/>
                <w:spacing w:val="0"/>
                <w:position w:val="0"/>
                <w:sz w:val="21"/>
                <w:szCs w:val="21"/>
                <w:lang w:val="en-US" w:eastAsia="zh-CN"/>
              </w:rPr>
              <w:t>本项目所在车间总占地1400m</w:t>
            </w:r>
            <w:r>
              <w:rPr>
                <w:rFonts w:hint="eastAsia"/>
                <w:color w:val="auto"/>
                <w:spacing w:val="0"/>
                <w:position w:val="0"/>
                <w:sz w:val="21"/>
                <w:szCs w:val="21"/>
                <w:vertAlign w:val="superscript"/>
                <w:lang w:val="en-US" w:eastAsia="zh-CN"/>
              </w:rPr>
              <w:t>2</w:t>
            </w:r>
            <w:r>
              <w:rPr>
                <w:rFonts w:hint="eastAsia"/>
                <w:color w:val="auto"/>
                <w:spacing w:val="0"/>
                <w:position w:val="0"/>
                <w:sz w:val="21"/>
                <w:szCs w:val="21"/>
                <w:lang w:val="en-US" w:eastAsia="zh-CN"/>
              </w:rPr>
              <w:t>，</w:t>
            </w:r>
            <w:r>
              <w:rPr>
                <w:rFonts w:hint="eastAsia" w:cs="Times New Roman"/>
                <w:snapToGrid w:val="0"/>
                <w:color w:val="auto"/>
                <w:spacing w:val="0"/>
                <w:kern w:val="0"/>
                <w:position w:val="0"/>
                <w:sz w:val="21"/>
                <w:szCs w:val="21"/>
                <w:lang w:val="en-US" w:eastAsia="zh-CN"/>
              </w:rPr>
              <w:t>生产线占地</w:t>
            </w:r>
            <w:r>
              <w:rPr>
                <w:rFonts w:hint="default" w:ascii="Times New Roman" w:hAnsi="Times New Roman" w:eastAsia="宋体" w:cs="Times New Roman"/>
                <w:snapToGrid w:val="0"/>
                <w:color w:val="auto"/>
                <w:spacing w:val="0"/>
                <w:kern w:val="0"/>
                <w:position w:val="0"/>
                <w:sz w:val="21"/>
                <w:szCs w:val="21"/>
              </w:rPr>
              <w:t>面积为</w:t>
            </w:r>
            <w:r>
              <w:rPr>
                <w:rFonts w:hint="eastAsia" w:cs="Times New Roman"/>
                <w:snapToGrid w:val="0"/>
                <w:color w:val="auto"/>
                <w:spacing w:val="0"/>
                <w:kern w:val="0"/>
                <w:position w:val="0"/>
                <w:sz w:val="21"/>
                <w:szCs w:val="21"/>
                <w:lang w:val="en-US" w:eastAsia="zh-CN"/>
              </w:rPr>
              <w:t>1200</w:t>
            </w:r>
            <w:r>
              <w:rPr>
                <w:rFonts w:hint="default" w:ascii="Times New Roman" w:hAnsi="Times New Roman" w:eastAsia="宋体" w:cs="Times New Roman"/>
                <w:snapToGrid w:val="0"/>
                <w:color w:val="auto"/>
                <w:spacing w:val="0"/>
                <w:kern w:val="0"/>
                <w:position w:val="0"/>
                <w:sz w:val="21"/>
                <w:szCs w:val="21"/>
              </w:rPr>
              <w:t>m</w:t>
            </w:r>
            <w:r>
              <w:rPr>
                <w:rFonts w:hint="default" w:ascii="Times New Roman" w:hAnsi="Times New Roman" w:eastAsia="宋体" w:cs="Times New Roman"/>
                <w:snapToGrid w:val="0"/>
                <w:color w:val="auto"/>
                <w:spacing w:val="0"/>
                <w:kern w:val="0"/>
                <w:position w:val="0"/>
                <w:sz w:val="21"/>
                <w:szCs w:val="21"/>
                <w:vertAlign w:val="superscript"/>
              </w:rPr>
              <w:t>2</w:t>
            </w:r>
            <w:r>
              <w:rPr>
                <w:rFonts w:hint="default" w:ascii="Times New Roman" w:hAnsi="Times New Roman" w:eastAsia="宋体" w:cs="Times New Roman"/>
                <w:snapToGrid w:val="0"/>
                <w:color w:val="auto"/>
                <w:spacing w:val="0"/>
                <w:kern w:val="0"/>
                <w:position w:val="0"/>
                <w:sz w:val="21"/>
                <w:szCs w:val="21"/>
                <w:vertAlign w:val="baseline"/>
              </w:rPr>
              <w:t>。</w:t>
            </w:r>
          </w:p>
          <w:p w14:paraId="5DD8C0D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建设地点：</w:t>
            </w:r>
            <w:r>
              <w:rPr>
                <w:rFonts w:hint="eastAsia"/>
                <w:color w:val="auto"/>
                <w:spacing w:val="0"/>
                <w:kern w:val="0"/>
                <w:position w:val="0"/>
                <w:sz w:val="21"/>
                <w:szCs w:val="21"/>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eastAsia"/>
                <w:color w:val="auto"/>
                <w:spacing w:val="0"/>
                <w:kern w:val="0"/>
                <w:position w:val="0"/>
                <w:sz w:val="21"/>
                <w:szCs w:val="21"/>
              </w:rPr>
              <w:t>，中心地理坐标：</w:t>
            </w:r>
            <w:r>
              <w:rPr>
                <w:rFonts w:hint="eastAsia"/>
                <w:color w:val="auto"/>
                <w:spacing w:val="0"/>
                <w:position w:val="0"/>
                <w:sz w:val="21"/>
                <w:szCs w:val="21"/>
              </w:rPr>
              <w:t>东经：</w:t>
            </w:r>
            <w:r>
              <w:rPr>
                <w:rFonts w:hint="default" w:ascii="Times New Roman" w:hAnsi="Times New Roman" w:cs="Times New Roman"/>
                <w:b w:val="0"/>
                <w:bCs/>
                <w:color w:val="auto"/>
                <w:spacing w:val="0"/>
                <w:position w:val="0"/>
                <w:sz w:val="21"/>
                <w:szCs w:val="21"/>
                <w:lang w:val="en-US" w:eastAsia="zh-CN"/>
              </w:rPr>
              <w:t>85°0′8.661″</w:t>
            </w:r>
            <w:r>
              <w:rPr>
                <w:rFonts w:hint="eastAsia"/>
                <w:color w:val="auto"/>
                <w:spacing w:val="0"/>
                <w:position w:val="0"/>
                <w:sz w:val="21"/>
                <w:szCs w:val="21"/>
              </w:rPr>
              <w:t>，北纬：</w:t>
            </w:r>
            <w:r>
              <w:rPr>
                <w:rFonts w:hint="default" w:ascii="Times New Roman" w:hAnsi="Times New Roman" w:cs="Times New Roman"/>
                <w:b w:val="0"/>
                <w:bCs/>
                <w:color w:val="auto"/>
                <w:spacing w:val="0"/>
                <w:position w:val="0"/>
                <w:sz w:val="21"/>
                <w:szCs w:val="21"/>
                <w:lang w:val="en-US" w:eastAsia="zh-CN"/>
              </w:rPr>
              <w:t>44°34′40.451″</w:t>
            </w:r>
            <w:r>
              <w:rPr>
                <w:rFonts w:hint="default" w:ascii="Times New Roman" w:hAnsi="Times New Roman" w:eastAsia="宋体" w:cs="Times New Roman"/>
                <w:color w:val="auto"/>
                <w:spacing w:val="0"/>
                <w:position w:val="0"/>
                <w:sz w:val="21"/>
                <w:szCs w:val="21"/>
              </w:rPr>
              <w:t>，</w:t>
            </w:r>
            <w:r>
              <w:rPr>
                <w:rFonts w:hint="default" w:ascii="Times New Roman" w:hAnsi="Times New Roman" w:eastAsia="宋体" w:cs="Times New Roman"/>
                <w:color w:val="auto"/>
                <w:spacing w:val="0"/>
                <w:kern w:val="0"/>
                <w:position w:val="0"/>
                <w:sz w:val="21"/>
                <w:szCs w:val="21"/>
              </w:rPr>
              <w:t>项目区北侧和</w:t>
            </w:r>
            <w:r>
              <w:rPr>
                <w:rFonts w:hint="eastAsia" w:cs="Times New Roman"/>
                <w:color w:val="auto"/>
                <w:spacing w:val="0"/>
                <w:kern w:val="0"/>
                <w:position w:val="0"/>
                <w:sz w:val="21"/>
                <w:szCs w:val="21"/>
                <w:lang w:val="en-US" w:eastAsia="zh-CN"/>
              </w:rPr>
              <w:t>东</w:t>
            </w:r>
            <w:r>
              <w:rPr>
                <w:rFonts w:hint="default" w:ascii="Times New Roman" w:hAnsi="Times New Roman" w:eastAsia="宋体" w:cs="Times New Roman"/>
                <w:color w:val="auto"/>
                <w:spacing w:val="0"/>
                <w:kern w:val="0"/>
                <w:position w:val="0"/>
                <w:sz w:val="21"/>
                <w:szCs w:val="21"/>
              </w:rPr>
              <w:t>侧均为空地，</w:t>
            </w:r>
            <w:r>
              <w:rPr>
                <w:rFonts w:hint="eastAsia" w:cs="Times New Roman"/>
                <w:color w:val="auto"/>
                <w:spacing w:val="0"/>
                <w:kern w:val="0"/>
                <w:position w:val="0"/>
                <w:sz w:val="21"/>
                <w:szCs w:val="21"/>
                <w:lang w:val="en-US" w:eastAsia="zh-CN"/>
              </w:rPr>
              <w:t>西</w:t>
            </w:r>
            <w:r>
              <w:rPr>
                <w:rFonts w:hint="default" w:ascii="Times New Roman" w:hAnsi="Times New Roman" w:eastAsia="宋体" w:cs="Times New Roman"/>
                <w:color w:val="auto"/>
                <w:spacing w:val="0"/>
                <w:kern w:val="0"/>
                <w:position w:val="0"/>
                <w:sz w:val="21"/>
                <w:szCs w:val="21"/>
              </w:rPr>
              <w:t>侧为固彩商贸有限公司</w:t>
            </w:r>
            <w:r>
              <w:rPr>
                <w:rFonts w:hint="eastAsia" w:ascii="Times New Roman" w:hAnsi="Times New Roman" w:eastAsia="宋体" w:cs="Times New Roman"/>
                <w:color w:val="auto"/>
                <w:spacing w:val="0"/>
                <w:kern w:val="0"/>
                <w:position w:val="0"/>
                <w:sz w:val="21"/>
                <w:szCs w:val="21"/>
                <w:lang w:eastAsia="zh-CN"/>
              </w:rPr>
              <w:t>、</w:t>
            </w:r>
            <w:r>
              <w:rPr>
                <w:rFonts w:hint="eastAsia" w:ascii="Times New Roman" w:hAnsi="Times New Roman" w:eastAsia="宋体" w:cs="Times New Roman"/>
                <w:color w:val="auto"/>
                <w:spacing w:val="0"/>
                <w:kern w:val="0"/>
                <w:position w:val="0"/>
                <w:sz w:val="21"/>
                <w:szCs w:val="21"/>
                <w:lang w:val="en-US" w:eastAsia="zh-CN"/>
              </w:rPr>
              <w:t>南侧为鸿融钢</w:t>
            </w:r>
            <w:r>
              <w:rPr>
                <w:rFonts w:hint="eastAsia" w:cs="Times New Roman"/>
                <w:color w:val="auto"/>
                <w:spacing w:val="0"/>
                <w:kern w:val="0"/>
                <w:position w:val="0"/>
                <w:sz w:val="21"/>
                <w:szCs w:val="21"/>
                <w:lang w:val="en-US" w:eastAsia="zh-CN"/>
              </w:rPr>
              <w:t>构</w:t>
            </w:r>
            <w:r>
              <w:rPr>
                <w:rFonts w:hint="eastAsia" w:ascii="Times New Roman" w:hAnsi="Times New Roman" w:eastAsia="宋体" w:cs="Times New Roman"/>
                <w:color w:val="auto"/>
                <w:spacing w:val="0"/>
                <w:kern w:val="0"/>
                <w:position w:val="0"/>
                <w:sz w:val="21"/>
                <w:szCs w:val="21"/>
                <w:lang w:val="en-US" w:eastAsia="zh-CN"/>
              </w:rPr>
              <w:t>有限公司</w:t>
            </w:r>
            <w:r>
              <w:rPr>
                <w:rFonts w:hint="default" w:ascii="Times New Roman" w:hAnsi="Times New Roman" w:eastAsia="宋体" w:cs="Times New Roman"/>
                <w:color w:val="auto"/>
                <w:spacing w:val="0"/>
                <w:kern w:val="0"/>
                <w:position w:val="0"/>
                <w:sz w:val="21"/>
                <w:szCs w:val="21"/>
              </w:rPr>
              <w:t>，</w:t>
            </w:r>
            <w:r>
              <w:rPr>
                <w:rFonts w:hint="default" w:ascii="Times New Roman" w:hAnsi="Times New Roman" w:eastAsia="宋体" w:cs="Times New Roman"/>
                <w:color w:val="auto"/>
                <w:spacing w:val="0"/>
                <w:position w:val="0"/>
                <w:sz w:val="21"/>
                <w:szCs w:val="21"/>
              </w:rPr>
              <w:t>评价范围内无自然保护区、风景名胜区和其他需要特殊保护的区域以及学校、医院等保护目标。</w:t>
            </w:r>
          </w:p>
          <w:p w14:paraId="39A55ABC">
            <w:pPr>
              <w:keepNext w:val="0"/>
              <w:keepLines w:val="0"/>
              <w:pageBreakBefore w:val="0"/>
              <w:widowControl w:val="0"/>
              <w:kinsoku/>
              <w:wordWrap/>
              <w:topLinePunct w:val="0"/>
              <w:bidi w:val="0"/>
              <w:snapToGrid/>
              <w:spacing w:line="360" w:lineRule="auto"/>
              <w:ind w:firstLine="420" w:firstLineChars="20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项目投资：项目总投资</w:t>
            </w:r>
            <w:r>
              <w:rPr>
                <w:rFonts w:hint="eastAsia" w:cs="Times New Roman"/>
                <w:color w:val="auto"/>
                <w:spacing w:val="0"/>
                <w:position w:val="0"/>
                <w:sz w:val="21"/>
                <w:szCs w:val="21"/>
                <w:lang w:val="en-US" w:eastAsia="zh-CN"/>
              </w:rPr>
              <w:t>2</w:t>
            </w:r>
            <w:r>
              <w:rPr>
                <w:rFonts w:hint="eastAsia" w:ascii="Times New Roman" w:hAnsi="Times New Roman" w:eastAsia="宋体" w:cs="Times New Roman"/>
                <w:color w:val="auto"/>
                <w:spacing w:val="0"/>
                <w:position w:val="0"/>
                <w:sz w:val="21"/>
                <w:szCs w:val="21"/>
                <w:lang w:val="en-US" w:eastAsia="zh-CN"/>
              </w:rPr>
              <w:t>0</w:t>
            </w:r>
            <w:r>
              <w:rPr>
                <w:rFonts w:hint="default" w:ascii="Times New Roman" w:hAnsi="Times New Roman" w:eastAsia="宋体" w:cs="Times New Roman"/>
                <w:color w:val="auto"/>
                <w:spacing w:val="0"/>
                <w:position w:val="0"/>
                <w:sz w:val="21"/>
                <w:szCs w:val="21"/>
              </w:rPr>
              <w:t>00万元，全部为企业自筹资金。</w:t>
            </w:r>
          </w:p>
          <w:p w14:paraId="2EA3092C">
            <w:pPr>
              <w:keepNext w:val="0"/>
              <w:keepLines w:val="0"/>
              <w:pageBreakBefore w:val="0"/>
              <w:widowControl/>
              <w:suppressLineNumbers w:val="0"/>
              <w:kinsoku/>
              <w:wordWrap/>
              <w:overflowPunct/>
              <w:topLinePunct w:val="0"/>
              <w:bidi w:val="0"/>
              <w:adjustRightInd/>
              <w:snapToGrid/>
              <w:spacing w:line="360" w:lineRule="auto"/>
              <w:jc w:val="left"/>
              <w:textAlignment w:val="auto"/>
              <w:rPr>
                <w:rFonts w:hint="default"/>
                <w:color w:val="auto"/>
                <w:spacing w:val="0"/>
                <w:position w:val="0"/>
                <w:sz w:val="21"/>
                <w:szCs w:val="21"/>
                <w:lang w:val="en-US" w:eastAsia="zh-CN"/>
              </w:rPr>
            </w:pPr>
            <w:r>
              <w:rPr>
                <w:rFonts w:hint="eastAsia"/>
                <w:b w:val="0"/>
                <w:bCs w:val="0"/>
                <w:color w:val="auto"/>
                <w:spacing w:val="0"/>
                <w:position w:val="0"/>
                <w:sz w:val="21"/>
                <w:szCs w:val="21"/>
                <w:lang w:val="en-US" w:eastAsia="zh-CN"/>
              </w:rPr>
              <w:t>项目原有生产线情况：项目区原有生产线位于厂</w:t>
            </w:r>
            <w:r>
              <w:rPr>
                <w:rFonts w:hint="eastAsia"/>
                <w:color w:val="auto"/>
                <w:spacing w:val="0"/>
                <w:position w:val="0"/>
                <w:sz w:val="21"/>
                <w:szCs w:val="21"/>
                <w:lang w:val="en-US" w:eastAsia="zh-CN"/>
              </w:rPr>
              <w:t>区北侧厂房内，厂房占地面积1480m</w:t>
            </w:r>
            <w:r>
              <w:rPr>
                <w:rFonts w:hint="eastAsia"/>
                <w:color w:val="auto"/>
                <w:spacing w:val="0"/>
                <w:position w:val="0"/>
                <w:sz w:val="21"/>
                <w:szCs w:val="21"/>
                <w:vertAlign w:val="superscript"/>
                <w:lang w:val="en-US" w:eastAsia="zh-CN"/>
              </w:rPr>
              <w:t>2</w:t>
            </w:r>
            <w:r>
              <w:rPr>
                <w:rFonts w:hint="eastAsia"/>
                <w:color w:val="auto"/>
                <w:spacing w:val="0"/>
                <w:position w:val="0"/>
                <w:sz w:val="21"/>
                <w:szCs w:val="21"/>
                <w:lang w:val="en-US" w:eastAsia="zh-CN"/>
              </w:rPr>
              <w:t>，内有玻璃钢消防池、玻璃钢化粪池生产线，实际生产能力为：玻璃钢消防池1500m</w:t>
            </w:r>
            <w:r>
              <w:rPr>
                <w:rFonts w:hint="eastAsia"/>
                <w:color w:val="auto"/>
                <w:spacing w:val="0"/>
                <w:position w:val="0"/>
                <w:sz w:val="21"/>
                <w:szCs w:val="21"/>
                <w:vertAlign w:val="superscript"/>
                <w:lang w:val="en-US" w:eastAsia="zh-CN"/>
              </w:rPr>
              <w:t>3</w:t>
            </w:r>
            <w:r>
              <w:rPr>
                <w:rFonts w:hint="eastAsia"/>
                <w:color w:val="auto"/>
                <w:spacing w:val="0"/>
                <w:position w:val="0"/>
                <w:sz w:val="21"/>
                <w:szCs w:val="21"/>
                <w:lang w:val="en-US" w:eastAsia="zh-CN"/>
              </w:rPr>
              <w:t>/a，玻璃钢化粪池3000m</w:t>
            </w:r>
            <w:r>
              <w:rPr>
                <w:rFonts w:hint="eastAsia"/>
                <w:color w:val="auto"/>
                <w:spacing w:val="0"/>
                <w:position w:val="0"/>
                <w:sz w:val="21"/>
                <w:szCs w:val="21"/>
                <w:vertAlign w:val="superscript"/>
                <w:lang w:val="en-US" w:eastAsia="zh-CN"/>
              </w:rPr>
              <w:t>3</w:t>
            </w:r>
            <w:r>
              <w:rPr>
                <w:rFonts w:hint="eastAsia"/>
                <w:color w:val="auto"/>
                <w:spacing w:val="0"/>
                <w:position w:val="0"/>
                <w:sz w:val="21"/>
                <w:szCs w:val="21"/>
                <w:lang w:val="en-US" w:eastAsia="zh-CN"/>
              </w:rPr>
              <w:t>/a；环保设施为光氧处理系统。</w:t>
            </w:r>
          </w:p>
          <w:p w14:paraId="29A42207">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snapToGrid w:val="0"/>
                <w:color w:val="auto"/>
                <w:spacing w:val="0"/>
                <w:kern w:val="0"/>
                <w:position w:val="0"/>
                <w:sz w:val="21"/>
                <w:szCs w:val="21"/>
              </w:rPr>
            </w:pPr>
            <w:r>
              <w:rPr>
                <w:rFonts w:hint="eastAsia" w:cs="Times New Roman"/>
                <w:color w:val="auto"/>
                <w:spacing w:val="0"/>
                <w:position w:val="0"/>
                <w:sz w:val="21"/>
                <w:szCs w:val="21"/>
                <w:lang w:val="en-US" w:eastAsia="zh-CN"/>
              </w:rPr>
              <w:t>本次</w:t>
            </w:r>
            <w:r>
              <w:rPr>
                <w:rFonts w:hint="default" w:ascii="Times New Roman" w:hAnsi="Times New Roman" w:eastAsia="宋体" w:cs="Times New Roman"/>
                <w:color w:val="auto"/>
                <w:spacing w:val="0"/>
                <w:position w:val="0"/>
                <w:sz w:val="21"/>
                <w:szCs w:val="21"/>
              </w:rPr>
              <w:t>建设内容：</w:t>
            </w:r>
            <w:r>
              <w:rPr>
                <w:rFonts w:hint="eastAsia"/>
                <w:color w:val="auto"/>
                <w:spacing w:val="0"/>
                <w:position w:val="0"/>
                <w:sz w:val="21"/>
                <w:szCs w:val="21"/>
                <w:lang w:val="en-US" w:eastAsia="zh-CN"/>
              </w:rPr>
              <w:t>本项目所用车间是现有的空置车间，本项目只安装生产线，其中管件生产线10条，打包带生产线4条；员工宿舍、门卫室、成品堆场及运输道路依托项目原有的，不再新建。</w:t>
            </w:r>
            <w:r>
              <w:rPr>
                <w:rFonts w:hint="default" w:ascii="Times New Roman" w:hAnsi="Times New Roman" w:eastAsia="宋体" w:cs="Times New Roman"/>
                <w:snapToGrid w:val="0"/>
                <w:color w:val="auto"/>
                <w:spacing w:val="0"/>
                <w:kern w:val="0"/>
                <w:position w:val="0"/>
                <w:sz w:val="21"/>
                <w:szCs w:val="21"/>
              </w:rPr>
              <w:t>具体见表</w:t>
            </w:r>
            <w:r>
              <w:rPr>
                <w:rFonts w:hint="eastAsia" w:ascii="Times New Roman" w:hAnsi="Times New Roman" w:eastAsia="宋体" w:cs="Times New Roman"/>
                <w:snapToGrid w:val="0"/>
                <w:color w:val="auto"/>
                <w:spacing w:val="0"/>
                <w:kern w:val="0"/>
                <w:position w:val="0"/>
                <w:sz w:val="21"/>
                <w:szCs w:val="21"/>
                <w:lang w:val="en-US" w:eastAsia="zh-CN"/>
              </w:rPr>
              <w:t>2-1</w:t>
            </w:r>
            <w:r>
              <w:rPr>
                <w:rFonts w:hint="default" w:ascii="Times New Roman" w:hAnsi="Times New Roman" w:eastAsia="宋体" w:cs="Times New Roman"/>
                <w:snapToGrid w:val="0"/>
                <w:color w:val="auto"/>
                <w:spacing w:val="0"/>
                <w:kern w:val="0"/>
                <w:position w:val="0"/>
                <w:sz w:val="21"/>
                <w:szCs w:val="21"/>
              </w:rPr>
              <w:t>项目组成一览表。</w:t>
            </w:r>
          </w:p>
          <w:p w14:paraId="4DA6B883">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表</w:t>
            </w:r>
            <w:r>
              <w:rPr>
                <w:rFonts w:hint="eastAsia" w:ascii="Times New Roman" w:hAnsi="Times New Roman" w:eastAsia="宋体" w:cs="Times New Roman"/>
                <w:b/>
                <w:bCs/>
                <w:color w:val="auto"/>
                <w:spacing w:val="0"/>
                <w:position w:val="0"/>
                <w:sz w:val="21"/>
                <w:szCs w:val="21"/>
                <w:lang w:val="en-US" w:eastAsia="zh-CN"/>
              </w:rPr>
              <w:t xml:space="preserve">2-1  </w:t>
            </w:r>
            <w:r>
              <w:rPr>
                <w:rFonts w:hint="default" w:ascii="Times New Roman" w:hAnsi="Times New Roman" w:eastAsia="宋体" w:cs="Times New Roman"/>
                <w:b/>
                <w:bCs/>
                <w:color w:val="auto"/>
                <w:spacing w:val="0"/>
                <w:position w:val="0"/>
                <w:sz w:val="21"/>
                <w:szCs w:val="21"/>
                <w:lang w:val="en-US" w:eastAsia="zh-CN"/>
              </w:rPr>
              <w:t xml:space="preserve"> 项目组成情况一览表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443"/>
              <w:gridCol w:w="443"/>
              <w:gridCol w:w="443"/>
              <w:gridCol w:w="5"/>
              <w:gridCol w:w="917"/>
              <w:gridCol w:w="443"/>
              <w:gridCol w:w="4855"/>
              <w:gridCol w:w="804"/>
            </w:tblGrid>
            <w:tr w14:paraId="29A2D38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512" w:hRule="atLeast"/>
                <w:jc w:val="center"/>
              </w:trPr>
              <w:tc>
                <w:tcPr>
                  <w:tcW w:w="265" w:type="pct"/>
                  <w:vMerge w:val="restart"/>
                  <w:tcBorders>
                    <w:tl2br w:val="nil"/>
                    <w:tr2bl w:val="nil"/>
                  </w:tcBorders>
                  <w:vAlign w:val="center"/>
                </w:tcPr>
                <w:p w14:paraId="08BE0C65">
                  <w:pPr>
                    <w:spacing w:line="240" w:lineRule="auto"/>
                    <w:ind w:firstLine="0" w:firstLineChars="0"/>
                    <w:jc w:val="center"/>
                    <w:rPr>
                      <w:color w:val="auto"/>
                      <w:spacing w:val="0"/>
                      <w:position w:val="0"/>
                      <w:sz w:val="21"/>
                      <w:szCs w:val="21"/>
                    </w:rPr>
                  </w:pPr>
                  <w:r>
                    <w:rPr>
                      <w:color w:val="auto"/>
                      <w:spacing w:val="0"/>
                      <w:position w:val="0"/>
                      <w:sz w:val="21"/>
                      <w:szCs w:val="21"/>
                    </w:rPr>
                    <w:t>序号</w:t>
                  </w:r>
                </w:p>
              </w:tc>
              <w:tc>
                <w:tcPr>
                  <w:tcW w:w="265" w:type="pct"/>
                  <w:vMerge w:val="restart"/>
                  <w:tcBorders>
                    <w:tl2br w:val="nil"/>
                    <w:tr2bl w:val="nil"/>
                  </w:tcBorders>
                  <w:vAlign w:val="center"/>
                </w:tcPr>
                <w:p w14:paraId="5119D661">
                  <w:pPr>
                    <w:spacing w:line="240" w:lineRule="auto"/>
                    <w:ind w:firstLine="0" w:firstLineChars="0"/>
                    <w:jc w:val="center"/>
                    <w:rPr>
                      <w:color w:val="auto"/>
                      <w:spacing w:val="0"/>
                      <w:position w:val="0"/>
                      <w:sz w:val="21"/>
                      <w:szCs w:val="21"/>
                    </w:rPr>
                  </w:pPr>
                  <w:r>
                    <w:rPr>
                      <w:color w:val="auto"/>
                      <w:spacing w:val="0"/>
                      <w:position w:val="0"/>
                      <w:sz w:val="21"/>
                      <w:szCs w:val="21"/>
                    </w:rPr>
                    <w:t>工程类别</w:t>
                  </w:r>
                </w:p>
              </w:tc>
              <w:tc>
                <w:tcPr>
                  <w:tcW w:w="3987" w:type="pct"/>
                  <w:gridSpan w:val="5"/>
                  <w:tcBorders>
                    <w:tl2br w:val="nil"/>
                    <w:tr2bl w:val="nil"/>
                  </w:tcBorders>
                  <w:vAlign w:val="center"/>
                </w:tcPr>
                <w:p w14:paraId="4B7D0F5E">
                  <w:pPr>
                    <w:spacing w:line="240" w:lineRule="auto"/>
                    <w:ind w:firstLine="0" w:firstLineChars="0"/>
                    <w:jc w:val="center"/>
                    <w:rPr>
                      <w:color w:val="auto"/>
                      <w:spacing w:val="0"/>
                      <w:position w:val="0"/>
                      <w:sz w:val="21"/>
                      <w:szCs w:val="21"/>
                    </w:rPr>
                  </w:pPr>
                  <w:r>
                    <w:rPr>
                      <w:color w:val="auto"/>
                      <w:spacing w:val="0"/>
                      <w:position w:val="0"/>
                      <w:sz w:val="21"/>
                      <w:szCs w:val="21"/>
                    </w:rPr>
                    <w:t>主要建设内容</w:t>
                  </w:r>
                </w:p>
              </w:tc>
              <w:tc>
                <w:tcPr>
                  <w:tcW w:w="480" w:type="pct"/>
                  <w:vMerge w:val="restart"/>
                  <w:tcBorders>
                    <w:tl2br w:val="nil"/>
                    <w:tr2bl w:val="nil"/>
                  </w:tcBorders>
                  <w:vAlign w:val="center"/>
                </w:tcPr>
                <w:p w14:paraId="1B90D81C">
                  <w:pPr>
                    <w:spacing w:line="240" w:lineRule="auto"/>
                    <w:ind w:firstLine="0" w:firstLineChars="0"/>
                    <w:jc w:val="center"/>
                    <w:rPr>
                      <w:rFonts w:hint="eastAsia" w:eastAsia="宋体"/>
                      <w:color w:val="auto"/>
                      <w:spacing w:val="0"/>
                      <w:position w:val="0"/>
                      <w:sz w:val="21"/>
                      <w:szCs w:val="21"/>
                      <w:lang w:val="en-US" w:eastAsia="zh-CN"/>
                    </w:rPr>
                  </w:pPr>
                  <w:r>
                    <w:rPr>
                      <w:rFonts w:hint="eastAsia"/>
                      <w:color w:val="auto"/>
                      <w:spacing w:val="0"/>
                      <w:position w:val="0"/>
                      <w:sz w:val="21"/>
                      <w:szCs w:val="21"/>
                      <w:lang w:val="en-US" w:eastAsia="zh-CN"/>
                    </w:rPr>
                    <w:t>备注</w:t>
                  </w:r>
                </w:p>
              </w:tc>
            </w:tr>
            <w:tr w14:paraId="1DD92B4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tcBorders>
                    <w:tl2br w:val="nil"/>
                    <w:tr2bl w:val="nil"/>
                  </w:tcBorders>
                  <w:vAlign w:val="center"/>
                </w:tcPr>
                <w:p w14:paraId="1C830EFD">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018396FC">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102275BF">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工程名称</w:t>
                  </w:r>
                </w:p>
              </w:tc>
              <w:tc>
                <w:tcPr>
                  <w:tcW w:w="3170" w:type="pct"/>
                  <w:gridSpan w:val="2"/>
                  <w:tcBorders>
                    <w:tl2br w:val="nil"/>
                    <w:tr2bl w:val="nil"/>
                  </w:tcBorders>
                  <w:vAlign w:val="center"/>
                </w:tcPr>
                <w:p w14:paraId="6A3BD883">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工程内容和规模</w:t>
                  </w:r>
                </w:p>
              </w:tc>
              <w:tc>
                <w:tcPr>
                  <w:tcW w:w="480" w:type="pct"/>
                  <w:vMerge w:val="continue"/>
                  <w:tcBorders>
                    <w:tl2br w:val="nil"/>
                    <w:tr2bl w:val="nil"/>
                  </w:tcBorders>
                  <w:vAlign w:val="center"/>
                </w:tcPr>
                <w:p w14:paraId="58BC8647">
                  <w:pPr>
                    <w:spacing w:line="240" w:lineRule="auto"/>
                    <w:ind w:firstLine="0" w:firstLineChars="0"/>
                    <w:jc w:val="center"/>
                    <w:rPr>
                      <w:rFonts w:hint="eastAsia"/>
                      <w:color w:val="auto"/>
                      <w:spacing w:val="0"/>
                      <w:position w:val="0"/>
                      <w:sz w:val="21"/>
                      <w:szCs w:val="21"/>
                    </w:rPr>
                  </w:pPr>
                </w:p>
              </w:tc>
            </w:tr>
            <w:tr w14:paraId="5C0B813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94" w:hRule="atLeast"/>
                <w:jc w:val="center"/>
              </w:trPr>
              <w:tc>
                <w:tcPr>
                  <w:tcW w:w="265" w:type="pct"/>
                  <w:tcBorders>
                    <w:tl2br w:val="nil"/>
                    <w:tr2bl w:val="nil"/>
                  </w:tcBorders>
                  <w:vAlign w:val="center"/>
                </w:tcPr>
                <w:p w14:paraId="6DD86422">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1</w:t>
                  </w:r>
                </w:p>
              </w:tc>
              <w:tc>
                <w:tcPr>
                  <w:tcW w:w="265" w:type="pct"/>
                  <w:tcBorders>
                    <w:tl2br w:val="nil"/>
                    <w:tr2bl w:val="nil"/>
                  </w:tcBorders>
                  <w:vAlign w:val="center"/>
                </w:tcPr>
                <w:p w14:paraId="7957A194">
                  <w:pPr>
                    <w:spacing w:line="240" w:lineRule="auto"/>
                    <w:ind w:firstLine="0" w:firstLineChars="0"/>
                    <w:jc w:val="center"/>
                    <w:rPr>
                      <w:color w:val="auto"/>
                      <w:spacing w:val="0"/>
                      <w:position w:val="0"/>
                      <w:sz w:val="21"/>
                      <w:szCs w:val="21"/>
                    </w:rPr>
                  </w:pPr>
                  <w:r>
                    <w:rPr>
                      <w:color w:val="auto"/>
                      <w:spacing w:val="0"/>
                      <w:position w:val="0"/>
                      <w:sz w:val="21"/>
                      <w:szCs w:val="21"/>
                    </w:rPr>
                    <w:t>主体工程</w:t>
                  </w:r>
                </w:p>
              </w:tc>
              <w:tc>
                <w:tcPr>
                  <w:tcW w:w="817" w:type="pct"/>
                  <w:gridSpan w:val="3"/>
                  <w:tcBorders>
                    <w:tl2br w:val="nil"/>
                    <w:tr2bl w:val="nil"/>
                  </w:tcBorders>
                  <w:vAlign w:val="center"/>
                </w:tcPr>
                <w:p w14:paraId="56B382FE">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生产车间</w:t>
                  </w:r>
                </w:p>
              </w:tc>
              <w:tc>
                <w:tcPr>
                  <w:tcW w:w="3170" w:type="pct"/>
                  <w:gridSpan w:val="2"/>
                  <w:tcBorders>
                    <w:tl2br w:val="nil"/>
                    <w:tr2bl w:val="nil"/>
                  </w:tcBorders>
                  <w:vAlign w:val="center"/>
                </w:tcPr>
                <w:p w14:paraId="190CC91D">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rPr>
                    <w:t>生产车间1栋，建筑面积1</w:t>
                  </w:r>
                  <w:r>
                    <w:rPr>
                      <w:rFonts w:hint="eastAsia"/>
                      <w:color w:val="auto"/>
                      <w:spacing w:val="0"/>
                      <w:position w:val="0"/>
                      <w:sz w:val="21"/>
                      <w:szCs w:val="21"/>
                      <w:lang w:val="en-US" w:eastAsia="zh-CN"/>
                    </w:rPr>
                    <w:t>4</w:t>
                  </w:r>
                  <w:r>
                    <w:rPr>
                      <w:rFonts w:hint="eastAsia"/>
                      <w:color w:val="auto"/>
                      <w:spacing w:val="0"/>
                      <w:position w:val="0"/>
                      <w:sz w:val="21"/>
                      <w:szCs w:val="21"/>
                    </w:rPr>
                    <w:t>00m</w:t>
                  </w:r>
                  <w:r>
                    <w:rPr>
                      <w:rFonts w:hint="eastAsia"/>
                      <w:color w:val="auto"/>
                      <w:spacing w:val="0"/>
                      <w:position w:val="0"/>
                      <w:sz w:val="21"/>
                      <w:szCs w:val="21"/>
                      <w:vertAlign w:val="superscript"/>
                    </w:rPr>
                    <w:t>2</w:t>
                  </w:r>
                  <w:r>
                    <w:rPr>
                      <w:rFonts w:hint="eastAsia"/>
                      <w:color w:val="auto"/>
                      <w:spacing w:val="0"/>
                      <w:position w:val="0"/>
                      <w:sz w:val="21"/>
                      <w:szCs w:val="21"/>
                    </w:rPr>
                    <w:t>，一层，钢架结构，层高</w:t>
                  </w:r>
                  <w:r>
                    <w:rPr>
                      <w:rFonts w:hint="eastAsia"/>
                      <w:color w:val="auto"/>
                      <w:spacing w:val="0"/>
                      <w:position w:val="0"/>
                      <w:sz w:val="21"/>
                      <w:szCs w:val="21"/>
                      <w:lang w:val="en-US" w:eastAsia="zh-CN"/>
                    </w:rPr>
                    <w:t>5</w:t>
                  </w:r>
                  <w:r>
                    <w:rPr>
                      <w:rFonts w:hint="eastAsia"/>
                      <w:color w:val="auto"/>
                      <w:spacing w:val="0"/>
                      <w:position w:val="0"/>
                      <w:sz w:val="21"/>
                      <w:szCs w:val="21"/>
                    </w:rPr>
                    <w:t>m，</w:t>
                  </w:r>
                  <w:r>
                    <w:rPr>
                      <w:rFonts w:hint="eastAsia"/>
                      <w:color w:val="auto"/>
                      <w:spacing w:val="0"/>
                      <w:position w:val="0"/>
                      <w:sz w:val="21"/>
                      <w:szCs w:val="21"/>
                      <w:lang w:val="en-US" w:eastAsia="zh-CN"/>
                    </w:rPr>
                    <w:t>管件生产线设</w:t>
                  </w:r>
                  <w:r>
                    <w:rPr>
                      <w:rFonts w:hint="eastAsia" w:ascii="Times New Roman" w:hAnsi="Times New Roman" w:eastAsia="宋体" w:cs="Times New Roman"/>
                      <w:color w:val="auto"/>
                      <w:spacing w:val="0"/>
                      <w:position w:val="0"/>
                      <w:sz w:val="21"/>
                      <w:szCs w:val="21"/>
                      <w:lang w:val="en-US" w:eastAsia="zh-CN"/>
                    </w:rPr>
                    <w:t>置10条，</w:t>
                  </w:r>
                  <w:r>
                    <w:rPr>
                      <w:rFonts w:hint="eastAsia"/>
                      <w:color w:val="auto"/>
                      <w:spacing w:val="0"/>
                      <w:position w:val="0"/>
                      <w:sz w:val="21"/>
                      <w:szCs w:val="21"/>
                      <w:lang w:val="en-US" w:eastAsia="zh-CN"/>
                    </w:rPr>
                    <w:t>占地</w:t>
                  </w:r>
                  <w:r>
                    <w:rPr>
                      <w:rFonts w:hint="eastAsia"/>
                      <w:color w:val="auto"/>
                      <w:spacing w:val="0"/>
                      <w:position w:val="0"/>
                      <w:sz w:val="21"/>
                      <w:szCs w:val="21"/>
                    </w:rPr>
                    <w:t>面积</w:t>
                  </w:r>
                  <w:r>
                    <w:rPr>
                      <w:rFonts w:hint="eastAsia"/>
                      <w:color w:val="auto"/>
                      <w:spacing w:val="0"/>
                      <w:position w:val="0"/>
                      <w:sz w:val="21"/>
                      <w:szCs w:val="21"/>
                      <w:lang w:val="en-US" w:eastAsia="zh-CN"/>
                    </w:rPr>
                    <w:t>共4</w:t>
                  </w:r>
                  <w:r>
                    <w:rPr>
                      <w:rFonts w:hint="eastAsia"/>
                      <w:color w:val="auto"/>
                      <w:spacing w:val="0"/>
                      <w:position w:val="0"/>
                      <w:sz w:val="21"/>
                      <w:szCs w:val="21"/>
                    </w:rPr>
                    <w:t>00m</w:t>
                  </w:r>
                  <w:r>
                    <w:rPr>
                      <w:rFonts w:hint="eastAsia"/>
                      <w:color w:val="auto"/>
                      <w:spacing w:val="0"/>
                      <w:position w:val="0"/>
                      <w:sz w:val="21"/>
                      <w:szCs w:val="21"/>
                      <w:vertAlign w:val="superscript"/>
                    </w:rPr>
                    <w:t>2</w:t>
                  </w:r>
                  <w:r>
                    <w:rPr>
                      <w:rFonts w:hint="eastAsia"/>
                      <w:color w:val="auto"/>
                      <w:spacing w:val="0"/>
                      <w:position w:val="0"/>
                      <w:sz w:val="21"/>
                      <w:szCs w:val="21"/>
                      <w:lang w:eastAsia="zh-CN"/>
                    </w:rPr>
                    <w:t>，</w:t>
                  </w:r>
                  <w:r>
                    <w:rPr>
                      <w:rFonts w:hint="eastAsia"/>
                      <w:color w:val="auto"/>
                      <w:spacing w:val="0"/>
                      <w:position w:val="0"/>
                      <w:sz w:val="21"/>
                      <w:szCs w:val="21"/>
                      <w:lang w:val="en-US" w:eastAsia="zh-CN"/>
                    </w:rPr>
                    <w:t>管件</w:t>
                  </w:r>
                  <w:r>
                    <w:rPr>
                      <w:rFonts w:hint="eastAsia"/>
                      <w:color w:val="auto"/>
                      <w:spacing w:val="0"/>
                      <w:position w:val="0"/>
                      <w:sz w:val="21"/>
                      <w:szCs w:val="21"/>
                    </w:rPr>
                    <w:t>生产线生产规模为</w:t>
                  </w:r>
                  <w:r>
                    <w:rPr>
                      <w:rFonts w:hint="eastAsia"/>
                      <w:color w:val="auto"/>
                      <w:spacing w:val="0"/>
                      <w:position w:val="0"/>
                      <w:sz w:val="21"/>
                      <w:szCs w:val="21"/>
                      <w:lang w:val="en-US" w:eastAsia="zh-CN"/>
                    </w:rPr>
                    <w:t>300</w:t>
                  </w:r>
                  <w:r>
                    <w:rPr>
                      <w:rFonts w:hint="eastAsia"/>
                      <w:color w:val="auto"/>
                      <w:spacing w:val="0"/>
                      <w:position w:val="0"/>
                      <w:sz w:val="21"/>
                      <w:szCs w:val="21"/>
                    </w:rPr>
                    <w:t>0t/a</w:t>
                  </w:r>
                  <w:r>
                    <w:rPr>
                      <w:rFonts w:hint="eastAsia"/>
                      <w:color w:val="auto"/>
                      <w:spacing w:val="0"/>
                      <w:position w:val="0"/>
                      <w:sz w:val="21"/>
                      <w:szCs w:val="21"/>
                      <w:lang w:eastAsia="zh-CN"/>
                    </w:rPr>
                    <w:t>；</w:t>
                  </w:r>
                  <w:r>
                    <w:rPr>
                      <w:rFonts w:hint="eastAsia"/>
                      <w:color w:val="auto"/>
                      <w:spacing w:val="0"/>
                      <w:position w:val="0"/>
                      <w:sz w:val="21"/>
                      <w:szCs w:val="21"/>
                      <w:lang w:val="en-US" w:eastAsia="zh-CN"/>
                    </w:rPr>
                    <w:t>打包带生产线4条，占地</w:t>
                  </w:r>
                  <w:r>
                    <w:rPr>
                      <w:rFonts w:hint="eastAsia"/>
                      <w:color w:val="auto"/>
                      <w:spacing w:val="0"/>
                      <w:position w:val="0"/>
                      <w:sz w:val="21"/>
                      <w:szCs w:val="21"/>
                    </w:rPr>
                    <w:t>面积</w:t>
                  </w:r>
                  <w:r>
                    <w:rPr>
                      <w:rFonts w:hint="eastAsia"/>
                      <w:color w:val="auto"/>
                      <w:spacing w:val="0"/>
                      <w:position w:val="0"/>
                      <w:sz w:val="21"/>
                      <w:szCs w:val="21"/>
                      <w:lang w:val="en-US" w:eastAsia="zh-CN"/>
                    </w:rPr>
                    <w:t>200</w:t>
                  </w:r>
                  <w:r>
                    <w:rPr>
                      <w:rFonts w:hint="eastAsia"/>
                      <w:color w:val="auto"/>
                      <w:spacing w:val="0"/>
                      <w:position w:val="0"/>
                      <w:sz w:val="21"/>
                      <w:szCs w:val="21"/>
                    </w:rPr>
                    <w:t>m</w:t>
                  </w:r>
                  <w:r>
                    <w:rPr>
                      <w:rFonts w:hint="eastAsia"/>
                      <w:color w:val="auto"/>
                      <w:spacing w:val="0"/>
                      <w:position w:val="0"/>
                      <w:sz w:val="21"/>
                      <w:szCs w:val="21"/>
                      <w:vertAlign w:val="superscript"/>
                    </w:rPr>
                    <w:t>2</w:t>
                  </w:r>
                  <w:r>
                    <w:rPr>
                      <w:rFonts w:hint="eastAsia"/>
                      <w:color w:val="auto"/>
                      <w:spacing w:val="0"/>
                      <w:position w:val="0"/>
                      <w:sz w:val="21"/>
                      <w:szCs w:val="21"/>
                    </w:rPr>
                    <w:t>，生产规模</w:t>
                  </w:r>
                  <w:r>
                    <w:rPr>
                      <w:rFonts w:hint="eastAsia"/>
                      <w:color w:val="auto"/>
                      <w:spacing w:val="0"/>
                      <w:position w:val="0"/>
                      <w:sz w:val="21"/>
                      <w:szCs w:val="21"/>
                      <w:lang w:val="en-US" w:eastAsia="zh-CN"/>
                    </w:rPr>
                    <w:t>为2000</w:t>
                  </w:r>
                  <w:r>
                    <w:rPr>
                      <w:rFonts w:hint="eastAsia"/>
                      <w:color w:val="auto"/>
                      <w:spacing w:val="0"/>
                      <w:position w:val="0"/>
                      <w:sz w:val="21"/>
                      <w:szCs w:val="21"/>
                    </w:rPr>
                    <w:t>t/a</w:t>
                  </w:r>
                  <w:r>
                    <w:rPr>
                      <w:rFonts w:hint="eastAsia"/>
                      <w:color w:val="auto"/>
                      <w:spacing w:val="0"/>
                      <w:position w:val="0"/>
                      <w:sz w:val="21"/>
                      <w:szCs w:val="21"/>
                      <w:lang w:eastAsia="zh-CN"/>
                    </w:rPr>
                    <w:t>；</w:t>
                  </w:r>
                  <w:r>
                    <w:rPr>
                      <w:rFonts w:hint="eastAsia"/>
                      <w:color w:val="auto"/>
                      <w:spacing w:val="0"/>
                      <w:position w:val="0"/>
                      <w:sz w:val="21"/>
                      <w:szCs w:val="21"/>
                      <w:lang w:val="en-US" w:eastAsia="zh-CN"/>
                    </w:rPr>
                    <w:t>破碎机一台；混料机两台</w:t>
                  </w:r>
                </w:p>
              </w:tc>
              <w:tc>
                <w:tcPr>
                  <w:tcW w:w="480" w:type="pct"/>
                  <w:tcBorders>
                    <w:tl2br w:val="nil"/>
                    <w:tr2bl w:val="nil"/>
                  </w:tcBorders>
                  <w:vAlign w:val="center"/>
                </w:tcPr>
                <w:p w14:paraId="7A4272C1">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生产车间依托现有空置车间，新建生产线</w:t>
                  </w:r>
                </w:p>
              </w:tc>
            </w:tr>
            <w:tr w14:paraId="1A50102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94" w:hRule="atLeast"/>
                <w:jc w:val="center"/>
              </w:trPr>
              <w:tc>
                <w:tcPr>
                  <w:tcW w:w="265" w:type="pct"/>
                  <w:vMerge w:val="restart"/>
                  <w:tcBorders>
                    <w:tl2br w:val="nil"/>
                    <w:tr2bl w:val="nil"/>
                  </w:tcBorders>
                  <w:vAlign w:val="center"/>
                </w:tcPr>
                <w:p w14:paraId="5B52638F">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2</w:t>
                  </w:r>
                </w:p>
              </w:tc>
              <w:tc>
                <w:tcPr>
                  <w:tcW w:w="265" w:type="pct"/>
                  <w:vMerge w:val="restart"/>
                  <w:tcBorders>
                    <w:tl2br w:val="nil"/>
                    <w:tr2bl w:val="nil"/>
                  </w:tcBorders>
                  <w:vAlign w:val="center"/>
                </w:tcPr>
                <w:p w14:paraId="5D449CDF">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储运工程</w:t>
                  </w:r>
                </w:p>
              </w:tc>
              <w:tc>
                <w:tcPr>
                  <w:tcW w:w="817" w:type="pct"/>
                  <w:gridSpan w:val="3"/>
                  <w:tcBorders>
                    <w:tl2br w:val="nil"/>
                    <w:tr2bl w:val="nil"/>
                  </w:tcBorders>
                  <w:vAlign w:val="center"/>
                </w:tcPr>
                <w:p w14:paraId="1A5F3A5B">
                  <w:pPr>
                    <w:snapToGrid w:val="0"/>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原料库房</w:t>
                  </w:r>
                </w:p>
              </w:tc>
              <w:tc>
                <w:tcPr>
                  <w:tcW w:w="3170" w:type="pct"/>
                  <w:gridSpan w:val="2"/>
                  <w:tcBorders>
                    <w:tl2br w:val="nil"/>
                    <w:tr2bl w:val="nil"/>
                  </w:tcBorders>
                  <w:vAlign w:val="center"/>
                </w:tcPr>
                <w:p w14:paraId="09F977DC">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依托厂区内现有的库房，本项目所用原料为PP新料、PE新料、PVC颗粒新料堆放于厂区内原料库房，位于生产车间东北侧，占地30m</w:t>
                  </w:r>
                  <w:r>
                    <w:rPr>
                      <w:rFonts w:hint="eastAsia"/>
                      <w:color w:val="auto"/>
                      <w:spacing w:val="0"/>
                      <w:position w:val="0"/>
                      <w:sz w:val="21"/>
                      <w:szCs w:val="21"/>
                      <w:vertAlign w:val="superscript"/>
                      <w:lang w:val="en-US" w:eastAsia="zh-CN"/>
                    </w:rPr>
                    <w:t>2</w:t>
                  </w:r>
                </w:p>
              </w:tc>
              <w:tc>
                <w:tcPr>
                  <w:tcW w:w="480" w:type="pct"/>
                  <w:tcBorders>
                    <w:tl2br w:val="nil"/>
                    <w:tr2bl w:val="nil"/>
                  </w:tcBorders>
                  <w:vAlign w:val="center"/>
                </w:tcPr>
                <w:p w14:paraId="5A75375F">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1826CF7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94" w:hRule="atLeast"/>
                <w:jc w:val="center"/>
              </w:trPr>
              <w:tc>
                <w:tcPr>
                  <w:tcW w:w="265" w:type="pct"/>
                  <w:vMerge w:val="continue"/>
                  <w:tcBorders>
                    <w:tl2br w:val="nil"/>
                    <w:tr2bl w:val="nil"/>
                  </w:tcBorders>
                  <w:vAlign w:val="center"/>
                </w:tcPr>
                <w:p w14:paraId="7536209D">
                  <w:pPr>
                    <w:spacing w:line="240" w:lineRule="auto"/>
                    <w:ind w:firstLine="0" w:firstLineChars="0"/>
                    <w:jc w:val="center"/>
                    <w:rPr>
                      <w:rFonts w:hint="eastAsia"/>
                      <w:color w:val="auto"/>
                      <w:spacing w:val="0"/>
                      <w:position w:val="0"/>
                      <w:sz w:val="21"/>
                      <w:szCs w:val="21"/>
                    </w:rPr>
                  </w:pPr>
                </w:p>
              </w:tc>
              <w:tc>
                <w:tcPr>
                  <w:tcW w:w="265" w:type="pct"/>
                  <w:vMerge w:val="continue"/>
                  <w:tcBorders>
                    <w:tl2br w:val="nil"/>
                    <w:tr2bl w:val="nil"/>
                  </w:tcBorders>
                  <w:vAlign w:val="center"/>
                </w:tcPr>
                <w:p w14:paraId="042FDF16">
                  <w:pPr>
                    <w:spacing w:line="240" w:lineRule="auto"/>
                    <w:ind w:firstLine="0" w:firstLineChars="0"/>
                    <w:jc w:val="center"/>
                    <w:rPr>
                      <w:rFonts w:hint="eastAsia"/>
                      <w:color w:val="auto"/>
                      <w:spacing w:val="0"/>
                      <w:position w:val="0"/>
                      <w:sz w:val="21"/>
                      <w:szCs w:val="21"/>
                    </w:rPr>
                  </w:pPr>
                </w:p>
              </w:tc>
              <w:tc>
                <w:tcPr>
                  <w:tcW w:w="817" w:type="pct"/>
                  <w:gridSpan w:val="3"/>
                  <w:tcBorders>
                    <w:tl2br w:val="nil"/>
                    <w:tr2bl w:val="nil"/>
                  </w:tcBorders>
                  <w:vAlign w:val="center"/>
                </w:tcPr>
                <w:p w14:paraId="6CC2508D">
                  <w:pPr>
                    <w:snapToGrid w:val="0"/>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成品堆场</w:t>
                  </w:r>
                </w:p>
              </w:tc>
              <w:tc>
                <w:tcPr>
                  <w:tcW w:w="3170" w:type="pct"/>
                  <w:gridSpan w:val="2"/>
                  <w:tcBorders>
                    <w:tl2br w:val="nil"/>
                    <w:tr2bl w:val="nil"/>
                  </w:tcBorders>
                  <w:vAlign w:val="center"/>
                </w:tcPr>
                <w:p w14:paraId="74E3D6B3">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项目生产的合格产品全部打包存放于厂区内的成品堆放厂，位于厂区中部，占地100m</w:t>
                  </w:r>
                  <w:r>
                    <w:rPr>
                      <w:rFonts w:hint="eastAsia"/>
                      <w:color w:val="auto"/>
                      <w:spacing w:val="0"/>
                      <w:position w:val="0"/>
                      <w:sz w:val="21"/>
                      <w:szCs w:val="21"/>
                      <w:vertAlign w:val="superscript"/>
                      <w:lang w:val="en-US" w:eastAsia="zh-CN"/>
                    </w:rPr>
                    <w:t>2</w:t>
                  </w:r>
                </w:p>
              </w:tc>
              <w:tc>
                <w:tcPr>
                  <w:tcW w:w="480" w:type="pct"/>
                  <w:tcBorders>
                    <w:tl2br w:val="nil"/>
                    <w:tr2bl w:val="nil"/>
                  </w:tcBorders>
                  <w:vAlign w:val="center"/>
                </w:tcPr>
                <w:p w14:paraId="53EFAD2C">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7507A46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94" w:hRule="atLeast"/>
                <w:jc w:val="center"/>
              </w:trPr>
              <w:tc>
                <w:tcPr>
                  <w:tcW w:w="265" w:type="pct"/>
                  <w:vMerge w:val="continue"/>
                  <w:tcBorders>
                    <w:tl2br w:val="nil"/>
                    <w:tr2bl w:val="nil"/>
                  </w:tcBorders>
                  <w:vAlign w:val="center"/>
                </w:tcPr>
                <w:p w14:paraId="3BA65BF6">
                  <w:pPr>
                    <w:snapToGrid w:val="0"/>
                    <w:spacing w:line="240" w:lineRule="auto"/>
                    <w:ind w:firstLine="0" w:firstLineChars="0"/>
                    <w:jc w:val="center"/>
                    <w:rPr>
                      <w:rFonts w:hint="eastAsia"/>
                      <w:color w:val="auto"/>
                      <w:spacing w:val="0"/>
                      <w:position w:val="0"/>
                      <w:sz w:val="21"/>
                      <w:szCs w:val="21"/>
                    </w:rPr>
                  </w:pPr>
                </w:p>
              </w:tc>
              <w:tc>
                <w:tcPr>
                  <w:tcW w:w="265" w:type="pct"/>
                  <w:vMerge w:val="continue"/>
                  <w:tcBorders>
                    <w:tl2br w:val="nil"/>
                    <w:tr2bl w:val="nil"/>
                  </w:tcBorders>
                  <w:vAlign w:val="center"/>
                </w:tcPr>
                <w:p w14:paraId="201CF82B">
                  <w:pPr>
                    <w:snapToGrid w:val="0"/>
                    <w:spacing w:line="240" w:lineRule="auto"/>
                    <w:ind w:firstLine="0" w:firstLineChars="0"/>
                    <w:jc w:val="center"/>
                    <w:rPr>
                      <w:rFonts w:hint="eastAsia"/>
                      <w:color w:val="auto"/>
                      <w:spacing w:val="0"/>
                      <w:position w:val="0"/>
                      <w:sz w:val="21"/>
                      <w:szCs w:val="21"/>
                    </w:rPr>
                  </w:pPr>
                </w:p>
              </w:tc>
              <w:tc>
                <w:tcPr>
                  <w:tcW w:w="817" w:type="pct"/>
                  <w:gridSpan w:val="3"/>
                  <w:tcBorders>
                    <w:tl2br w:val="nil"/>
                    <w:tr2bl w:val="nil"/>
                  </w:tcBorders>
                  <w:vAlign w:val="center"/>
                </w:tcPr>
                <w:p w14:paraId="123BD13D">
                  <w:pPr>
                    <w:snapToGrid w:val="0"/>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rPr>
                    <w:t>危废暂存间</w:t>
                  </w:r>
                </w:p>
              </w:tc>
              <w:tc>
                <w:tcPr>
                  <w:tcW w:w="3170" w:type="pct"/>
                  <w:gridSpan w:val="2"/>
                  <w:tcBorders>
                    <w:tl2br w:val="nil"/>
                    <w:tr2bl w:val="nil"/>
                  </w:tcBorders>
                  <w:vAlign w:val="center"/>
                </w:tcPr>
                <w:p w14:paraId="293A4FF9">
                  <w:pPr>
                    <w:snapToGrid w:val="0"/>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占地5m</w:t>
                  </w:r>
                  <w:r>
                    <w:rPr>
                      <w:rFonts w:hint="eastAsia"/>
                      <w:color w:val="auto"/>
                      <w:spacing w:val="0"/>
                      <w:position w:val="0"/>
                      <w:sz w:val="21"/>
                      <w:szCs w:val="21"/>
                      <w:vertAlign w:val="superscript"/>
                      <w:lang w:val="en-US" w:eastAsia="zh-CN"/>
                    </w:rPr>
                    <w:t>2</w:t>
                  </w:r>
                  <w:r>
                    <w:rPr>
                      <w:rFonts w:hint="eastAsia"/>
                      <w:color w:val="auto"/>
                      <w:spacing w:val="0"/>
                      <w:position w:val="0"/>
                      <w:sz w:val="21"/>
                      <w:szCs w:val="21"/>
                      <w:lang w:val="en-US" w:eastAsia="zh-CN"/>
                    </w:rPr>
                    <w:t>，</w:t>
                  </w:r>
                  <w:r>
                    <w:rPr>
                      <w:rFonts w:hint="eastAsia"/>
                      <w:color w:val="auto"/>
                      <w:spacing w:val="0"/>
                      <w:position w:val="0"/>
                      <w:sz w:val="21"/>
                      <w:szCs w:val="21"/>
                    </w:rPr>
                    <w:t>危废暂存间</w:t>
                  </w:r>
                  <w:r>
                    <w:rPr>
                      <w:rFonts w:hint="eastAsia"/>
                      <w:color w:val="auto"/>
                      <w:spacing w:val="0"/>
                      <w:position w:val="0"/>
                      <w:sz w:val="21"/>
                      <w:szCs w:val="21"/>
                      <w:lang w:val="en-US" w:eastAsia="zh-CN"/>
                    </w:rPr>
                    <w:t>设置于生产车间西侧</w:t>
                  </w:r>
                </w:p>
              </w:tc>
              <w:tc>
                <w:tcPr>
                  <w:tcW w:w="480" w:type="pct"/>
                  <w:tcBorders>
                    <w:tl2br w:val="nil"/>
                    <w:tr2bl w:val="nil"/>
                  </w:tcBorders>
                  <w:vAlign w:val="center"/>
                </w:tcPr>
                <w:p w14:paraId="4EDCF274">
                  <w:pPr>
                    <w:snapToGrid w:val="0"/>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新建</w:t>
                  </w:r>
                </w:p>
              </w:tc>
            </w:tr>
            <w:tr w14:paraId="6F0CC80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1" w:hRule="atLeast"/>
                <w:jc w:val="center"/>
              </w:trPr>
              <w:tc>
                <w:tcPr>
                  <w:tcW w:w="265" w:type="pct"/>
                  <w:vMerge w:val="continue"/>
                  <w:tcBorders>
                    <w:tl2br w:val="nil"/>
                    <w:tr2bl w:val="nil"/>
                  </w:tcBorders>
                  <w:vAlign w:val="center"/>
                </w:tcPr>
                <w:p w14:paraId="2C895616">
                  <w:pPr>
                    <w:snapToGrid w:val="0"/>
                    <w:spacing w:line="240" w:lineRule="auto"/>
                    <w:ind w:firstLine="0" w:firstLineChars="0"/>
                    <w:jc w:val="center"/>
                    <w:rPr>
                      <w:rFonts w:hint="eastAsia"/>
                      <w:color w:val="auto"/>
                      <w:spacing w:val="0"/>
                      <w:position w:val="0"/>
                      <w:sz w:val="21"/>
                      <w:szCs w:val="21"/>
                    </w:rPr>
                  </w:pPr>
                </w:p>
              </w:tc>
              <w:tc>
                <w:tcPr>
                  <w:tcW w:w="265" w:type="pct"/>
                  <w:vMerge w:val="continue"/>
                  <w:tcBorders>
                    <w:tl2br w:val="nil"/>
                    <w:tr2bl w:val="nil"/>
                  </w:tcBorders>
                  <w:vAlign w:val="center"/>
                </w:tcPr>
                <w:p w14:paraId="65B33257">
                  <w:pPr>
                    <w:snapToGrid w:val="0"/>
                    <w:spacing w:line="240" w:lineRule="auto"/>
                    <w:ind w:firstLine="0" w:firstLineChars="0"/>
                    <w:jc w:val="center"/>
                    <w:rPr>
                      <w:rFonts w:hint="eastAsia"/>
                      <w:color w:val="auto"/>
                      <w:spacing w:val="0"/>
                      <w:position w:val="0"/>
                      <w:sz w:val="21"/>
                      <w:szCs w:val="21"/>
                    </w:rPr>
                  </w:pPr>
                </w:p>
              </w:tc>
              <w:tc>
                <w:tcPr>
                  <w:tcW w:w="268" w:type="pct"/>
                  <w:gridSpan w:val="2"/>
                  <w:vMerge w:val="restart"/>
                  <w:tcBorders>
                    <w:tl2br w:val="nil"/>
                    <w:tr2bl w:val="nil"/>
                  </w:tcBorders>
                  <w:vAlign w:val="center"/>
                </w:tcPr>
                <w:p w14:paraId="0C4B8B3F">
                  <w:pPr>
                    <w:snapToGrid w:val="0"/>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运输</w:t>
                  </w:r>
                </w:p>
              </w:tc>
              <w:tc>
                <w:tcPr>
                  <w:tcW w:w="548" w:type="pct"/>
                  <w:tcBorders>
                    <w:tl2br w:val="nil"/>
                    <w:tr2bl w:val="nil"/>
                  </w:tcBorders>
                  <w:vAlign w:val="center"/>
                </w:tcPr>
                <w:p w14:paraId="4F90852E">
                  <w:pPr>
                    <w:snapToGrid w:val="0"/>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场内</w:t>
                  </w:r>
                </w:p>
              </w:tc>
              <w:tc>
                <w:tcPr>
                  <w:tcW w:w="3170" w:type="pct"/>
                  <w:gridSpan w:val="2"/>
                  <w:tcBorders>
                    <w:tl2br w:val="nil"/>
                    <w:tr2bl w:val="nil"/>
                  </w:tcBorders>
                  <w:vAlign w:val="center"/>
                </w:tcPr>
                <w:p w14:paraId="3F97F4C6">
                  <w:pPr>
                    <w:snapToGrid w:val="0"/>
                    <w:spacing w:line="240" w:lineRule="auto"/>
                    <w:ind w:firstLine="0" w:firstLineChars="0"/>
                    <w:jc w:val="center"/>
                    <w:rPr>
                      <w:rFonts w:hint="default"/>
                      <w:color w:val="auto"/>
                      <w:spacing w:val="0"/>
                      <w:position w:val="0"/>
                      <w:sz w:val="21"/>
                      <w:szCs w:val="21"/>
                      <w:lang w:val="en-US"/>
                    </w:rPr>
                  </w:pPr>
                  <w:r>
                    <w:rPr>
                      <w:rFonts w:hint="eastAsia"/>
                      <w:color w:val="auto"/>
                      <w:spacing w:val="0"/>
                      <w:position w:val="0"/>
                      <w:sz w:val="21"/>
                      <w:szCs w:val="21"/>
                      <w:lang w:val="en-US" w:eastAsia="zh-CN"/>
                    </w:rPr>
                    <w:t>厂区内有现成的水泥道路，由厂区大门通向厂区各处，交通便利</w:t>
                  </w:r>
                </w:p>
              </w:tc>
              <w:tc>
                <w:tcPr>
                  <w:tcW w:w="480" w:type="pct"/>
                  <w:tcBorders>
                    <w:tl2br w:val="nil"/>
                    <w:tr2bl w:val="nil"/>
                  </w:tcBorders>
                  <w:vAlign w:val="center"/>
                </w:tcPr>
                <w:p w14:paraId="2CF83DAB">
                  <w:pPr>
                    <w:snapToGrid w:val="0"/>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1212832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1" w:hRule="atLeast"/>
                <w:jc w:val="center"/>
              </w:trPr>
              <w:tc>
                <w:tcPr>
                  <w:tcW w:w="265" w:type="pct"/>
                  <w:vMerge w:val="continue"/>
                  <w:tcBorders>
                    <w:tl2br w:val="nil"/>
                    <w:tr2bl w:val="nil"/>
                  </w:tcBorders>
                  <w:vAlign w:val="center"/>
                </w:tcPr>
                <w:p w14:paraId="2DD0F549">
                  <w:pPr>
                    <w:snapToGrid w:val="0"/>
                    <w:spacing w:line="240" w:lineRule="auto"/>
                    <w:ind w:firstLine="0" w:firstLineChars="0"/>
                    <w:jc w:val="center"/>
                  </w:pPr>
                </w:p>
              </w:tc>
              <w:tc>
                <w:tcPr>
                  <w:tcW w:w="265" w:type="pct"/>
                  <w:vMerge w:val="continue"/>
                  <w:tcBorders>
                    <w:tl2br w:val="nil"/>
                    <w:tr2bl w:val="nil"/>
                  </w:tcBorders>
                  <w:vAlign w:val="center"/>
                </w:tcPr>
                <w:p w14:paraId="346D6F03">
                  <w:pPr>
                    <w:snapToGrid w:val="0"/>
                    <w:spacing w:line="240" w:lineRule="auto"/>
                    <w:ind w:firstLine="0" w:firstLineChars="0"/>
                    <w:jc w:val="center"/>
                  </w:pPr>
                </w:p>
              </w:tc>
              <w:tc>
                <w:tcPr>
                  <w:tcW w:w="268" w:type="pct"/>
                  <w:gridSpan w:val="2"/>
                  <w:vMerge w:val="continue"/>
                  <w:tcBorders>
                    <w:tl2br w:val="nil"/>
                    <w:tr2bl w:val="nil"/>
                  </w:tcBorders>
                  <w:vAlign w:val="center"/>
                </w:tcPr>
                <w:p w14:paraId="6F2697E6">
                  <w:pPr>
                    <w:snapToGrid w:val="0"/>
                    <w:spacing w:line="240" w:lineRule="auto"/>
                    <w:ind w:firstLine="0" w:firstLineChars="0"/>
                    <w:jc w:val="center"/>
                  </w:pPr>
                </w:p>
              </w:tc>
              <w:tc>
                <w:tcPr>
                  <w:tcW w:w="548" w:type="pct"/>
                  <w:tcBorders>
                    <w:tl2br w:val="nil"/>
                    <w:tr2bl w:val="nil"/>
                  </w:tcBorders>
                  <w:vAlign w:val="center"/>
                </w:tcPr>
                <w:p w14:paraId="008FCF8A">
                  <w:pPr>
                    <w:snapToGrid w:val="0"/>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场外</w:t>
                  </w:r>
                </w:p>
              </w:tc>
              <w:tc>
                <w:tcPr>
                  <w:tcW w:w="3170" w:type="pct"/>
                  <w:gridSpan w:val="2"/>
                  <w:tcBorders>
                    <w:tl2br w:val="nil"/>
                    <w:tr2bl w:val="nil"/>
                  </w:tcBorders>
                  <w:vAlign w:val="center"/>
                </w:tcPr>
                <w:p w14:paraId="26C1D385">
                  <w:pPr>
                    <w:snapToGrid w:val="0"/>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w:t>
                  </w:r>
                  <w:r>
                    <w:rPr>
                      <w:rFonts w:hint="eastAsia"/>
                      <w:color w:val="auto"/>
                      <w:spacing w:val="0"/>
                      <w:position w:val="0"/>
                      <w:sz w:val="21"/>
                      <w:szCs w:val="21"/>
                      <w:lang w:val="en-US" w:eastAsia="zh-CN"/>
                    </w:rPr>
                    <w:t>内，园区内公路完善，本项目仅需要汽车运输，交通便利</w:t>
                  </w:r>
                </w:p>
              </w:tc>
              <w:tc>
                <w:tcPr>
                  <w:tcW w:w="480" w:type="pct"/>
                  <w:tcBorders>
                    <w:tl2br w:val="nil"/>
                    <w:tr2bl w:val="nil"/>
                  </w:tcBorders>
                  <w:vAlign w:val="center"/>
                </w:tcPr>
                <w:p w14:paraId="563441D7">
                  <w:pPr>
                    <w:snapToGrid w:val="0"/>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23DE76A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52" w:hRule="atLeast"/>
                <w:jc w:val="center"/>
              </w:trPr>
              <w:tc>
                <w:tcPr>
                  <w:tcW w:w="265" w:type="pct"/>
                  <w:vMerge w:val="restart"/>
                  <w:tcBorders>
                    <w:tl2br w:val="nil"/>
                    <w:tr2bl w:val="nil"/>
                  </w:tcBorders>
                  <w:vAlign w:val="center"/>
                </w:tcPr>
                <w:p w14:paraId="0EA0EA7D">
                  <w:pPr>
                    <w:spacing w:line="240" w:lineRule="auto"/>
                    <w:ind w:firstLine="0" w:firstLineChars="0"/>
                    <w:jc w:val="center"/>
                    <w:rPr>
                      <w:rFonts w:hint="eastAsia" w:eastAsia="宋体"/>
                      <w:color w:val="auto"/>
                      <w:spacing w:val="0"/>
                      <w:position w:val="0"/>
                      <w:sz w:val="21"/>
                      <w:szCs w:val="21"/>
                      <w:lang w:eastAsia="zh-CN"/>
                    </w:rPr>
                  </w:pPr>
                  <w:r>
                    <w:rPr>
                      <w:rFonts w:hint="eastAsia"/>
                      <w:color w:val="auto"/>
                      <w:spacing w:val="0"/>
                      <w:position w:val="0"/>
                      <w:sz w:val="21"/>
                      <w:szCs w:val="21"/>
                      <w:lang w:val="en-US" w:eastAsia="zh-CN"/>
                    </w:rPr>
                    <w:t>3</w:t>
                  </w:r>
                </w:p>
              </w:tc>
              <w:tc>
                <w:tcPr>
                  <w:tcW w:w="265" w:type="pct"/>
                  <w:vMerge w:val="restart"/>
                  <w:tcBorders>
                    <w:tl2br w:val="nil"/>
                    <w:tr2bl w:val="nil"/>
                  </w:tcBorders>
                  <w:vAlign w:val="center"/>
                </w:tcPr>
                <w:p w14:paraId="7DBDE180">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辅助</w:t>
                  </w:r>
                  <w:r>
                    <w:rPr>
                      <w:color w:val="auto"/>
                      <w:spacing w:val="0"/>
                      <w:position w:val="0"/>
                      <w:sz w:val="21"/>
                      <w:szCs w:val="21"/>
                    </w:rPr>
                    <w:t>工程</w:t>
                  </w:r>
                </w:p>
              </w:tc>
              <w:tc>
                <w:tcPr>
                  <w:tcW w:w="817" w:type="pct"/>
                  <w:gridSpan w:val="3"/>
                  <w:tcBorders>
                    <w:tl2br w:val="nil"/>
                    <w:tr2bl w:val="nil"/>
                  </w:tcBorders>
                  <w:vAlign w:val="center"/>
                </w:tcPr>
                <w:p w14:paraId="2E2D8B45">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rPr>
                    <w:t>宿舍</w:t>
                  </w:r>
                </w:p>
              </w:tc>
              <w:tc>
                <w:tcPr>
                  <w:tcW w:w="3170" w:type="pct"/>
                  <w:gridSpan w:val="2"/>
                  <w:tcBorders>
                    <w:tl2br w:val="nil"/>
                    <w:tr2bl w:val="nil"/>
                  </w:tcBorders>
                  <w:vAlign w:val="center"/>
                </w:tcPr>
                <w:p w14:paraId="35CA3D80">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rPr>
                    <w:t>占地面积</w:t>
                  </w:r>
                  <w:r>
                    <w:rPr>
                      <w:rFonts w:hint="eastAsia"/>
                      <w:color w:val="auto"/>
                      <w:spacing w:val="0"/>
                      <w:position w:val="0"/>
                      <w:sz w:val="21"/>
                      <w:szCs w:val="21"/>
                      <w:lang w:val="en-US" w:eastAsia="zh-CN"/>
                    </w:rPr>
                    <w:t>5</w:t>
                  </w:r>
                  <w:r>
                    <w:rPr>
                      <w:rFonts w:hint="eastAsia"/>
                      <w:color w:val="auto"/>
                      <w:spacing w:val="0"/>
                      <w:position w:val="0"/>
                      <w:sz w:val="21"/>
                      <w:szCs w:val="21"/>
                    </w:rPr>
                    <w:t>00m</w:t>
                  </w:r>
                  <w:r>
                    <w:rPr>
                      <w:rFonts w:hint="eastAsia"/>
                      <w:color w:val="auto"/>
                      <w:spacing w:val="0"/>
                      <w:position w:val="0"/>
                      <w:sz w:val="21"/>
                      <w:szCs w:val="21"/>
                      <w:vertAlign w:val="superscript"/>
                    </w:rPr>
                    <w:t>2</w:t>
                  </w:r>
                  <w:r>
                    <w:rPr>
                      <w:rFonts w:hint="eastAsia"/>
                      <w:color w:val="auto"/>
                      <w:spacing w:val="0"/>
                      <w:position w:val="0"/>
                      <w:sz w:val="21"/>
                      <w:szCs w:val="21"/>
                    </w:rPr>
                    <w:t>，</w:t>
                  </w:r>
                  <w:r>
                    <w:rPr>
                      <w:rFonts w:hint="eastAsia"/>
                      <w:color w:val="auto"/>
                      <w:spacing w:val="0"/>
                      <w:position w:val="0"/>
                      <w:sz w:val="21"/>
                      <w:szCs w:val="21"/>
                      <w:lang w:val="en-US" w:eastAsia="zh-CN"/>
                    </w:rPr>
                    <w:t>利用</w:t>
                  </w:r>
                  <w:r>
                    <w:rPr>
                      <w:rFonts w:hint="eastAsia"/>
                      <w:color w:val="auto"/>
                      <w:spacing w:val="0"/>
                      <w:position w:val="0"/>
                      <w:sz w:val="21"/>
                      <w:szCs w:val="21"/>
                    </w:rPr>
                    <w:t>现有职工宿舍</w:t>
                  </w:r>
                </w:p>
              </w:tc>
              <w:tc>
                <w:tcPr>
                  <w:tcW w:w="480" w:type="pct"/>
                  <w:tcBorders>
                    <w:tl2br w:val="nil"/>
                    <w:tr2bl w:val="nil"/>
                  </w:tcBorders>
                  <w:vAlign w:val="center"/>
                </w:tcPr>
                <w:p w14:paraId="612B3B15">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依托</w:t>
                  </w:r>
                </w:p>
              </w:tc>
            </w:tr>
            <w:tr w14:paraId="2DD78EF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tcBorders>
                    <w:tl2br w:val="nil"/>
                    <w:tr2bl w:val="nil"/>
                  </w:tcBorders>
                  <w:vAlign w:val="center"/>
                </w:tcPr>
                <w:p w14:paraId="324AB8BA">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42041A7F">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280F48EC">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门卫室</w:t>
                  </w:r>
                </w:p>
              </w:tc>
              <w:tc>
                <w:tcPr>
                  <w:tcW w:w="3170" w:type="pct"/>
                  <w:gridSpan w:val="2"/>
                  <w:tcBorders>
                    <w:tl2br w:val="nil"/>
                    <w:tr2bl w:val="nil"/>
                  </w:tcBorders>
                  <w:vAlign w:val="center"/>
                </w:tcPr>
                <w:p w14:paraId="2E4009A4">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占地</w:t>
                  </w:r>
                  <w:r>
                    <w:rPr>
                      <w:rFonts w:hint="eastAsia"/>
                      <w:color w:val="auto"/>
                      <w:spacing w:val="0"/>
                      <w:position w:val="0"/>
                      <w:sz w:val="21"/>
                      <w:szCs w:val="21"/>
                      <w:lang w:val="en-US" w:eastAsia="zh-CN"/>
                    </w:rPr>
                    <w:t>5</w:t>
                  </w:r>
                  <w:r>
                    <w:rPr>
                      <w:rFonts w:hint="eastAsia"/>
                      <w:color w:val="auto"/>
                      <w:spacing w:val="0"/>
                      <w:position w:val="0"/>
                      <w:sz w:val="21"/>
                      <w:szCs w:val="21"/>
                    </w:rPr>
                    <w:t>0m</w:t>
                  </w:r>
                  <w:r>
                    <w:rPr>
                      <w:rFonts w:hint="eastAsia"/>
                      <w:color w:val="auto"/>
                      <w:spacing w:val="0"/>
                      <w:position w:val="0"/>
                      <w:sz w:val="21"/>
                      <w:szCs w:val="21"/>
                      <w:vertAlign w:val="superscript"/>
                    </w:rPr>
                    <w:t>2</w:t>
                  </w:r>
                  <w:r>
                    <w:rPr>
                      <w:rFonts w:hint="eastAsia"/>
                      <w:color w:val="auto"/>
                      <w:spacing w:val="0"/>
                      <w:position w:val="0"/>
                      <w:sz w:val="21"/>
                      <w:szCs w:val="21"/>
                    </w:rPr>
                    <w:t>，</w:t>
                  </w:r>
                  <w:r>
                    <w:rPr>
                      <w:rFonts w:hint="eastAsia"/>
                      <w:color w:val="auto"/>
                      <w:spacing w:val="0"/>
                      <w:position w:val="0"/>
                      <w:sz w:val="21"/>
                      <w:szCs w:val="21"/>
                      <w:lang w:val="en-US" w:eastAsia="zh-CN"/>
                    </w:rPr>
                    <w:t>利用</w:t>
                  </w:r>
                  <w:r>
                    <w:rPr>
                      <w:rFonts w:hint="eastAsia"/>
                      <w:color w:val="auto"/>
                      <w:spacing w:val="0"/>
                      <w:position w:val="0"/>
                      <w:sz w:val="21"/>
                      <w:szCs w:val="21"/>
                    </w:rPr>
                    <w:t>现有门卫室</w:t>
                  </w:r>
                </w:p>
              </w:tc>
              <w:tc>
                <w:tcPr>
                  <w:tcW w:w="480" w:type="pct"/>
                  <w:tcBorders>
                    <w:tl2br w:val="nil"/>
                    <w:tr2bl w:val="nil"/>
                  </w:tcBorders>
                  <w:vAlign w:val="center"/>
                </w:tcPr>
                <w:p w14:paraId="125DE0CC">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依托</w:t>
                  </w:r>
                </w:p>
              </w:tc>
            </w:tr>
            <w:tr w14:paraId="473FC99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tcBorders>
                    <w:tl2br w:val="nil"/>
                    <w:tr2bl w:val="nil"/>
                  </w:tcBorders>
                  <w:vAlign w:val="center"/>
                </w:tcPr>
                <w:p w14:paraId="6E825402">
                  <w:pPr>
                    <w:spacing w:line="240" w:lineRule="auto"/>
                    <w:ind w:firstLine="0" w:firstLineChars="0"/>
                    <w:jc w:val="center"/>
                    <w:rPr>
                      <w:rFonts w:hint="eastAsia" w:eastAsia="宋体"/>
                      <w:color w:val="auto"/>
                      <w:spacing w:val="0"/>
                      <w:position w:val="0"/>
                      <w:sz w:val="21"/>
                      <w:szCs w:val="21"/>
                      <w:lang w:eastAsia="zh-CN"/>
                    </w:rPr>
                  </w:pPr>
                  <w:r>
                    <w:rPr>
                      <w:rFonts w:hint="eastAsia"/>
                      <w:color w:val="auto"/>
                      <w:spacing w:val="0"/>
                      <w:position w:val="0"/>
                      <w:sz w:val="21"/>
                      <w:szCs w:val="21"/>
                      <w:lang w:val="en-US" w:eastAsia="zh-CN"/>
                    </w:rPr>
                    <w:t>4</w:t>
                  </w:r>
                </w:p>
              </w:tc>
              <w:tc>
                <w:tcPr>
                  <w:tcW w:w="265" w:type="pct"/>
                  <w:vMerge w:val="restart"/>
                  <w:tcBorders>
                    <w:tl2br w:val="nil"/>
                    <w:tr2bl w:val="nil"/>
                  </w:tcBorders>
                  <w:vAlign w:val="center"/>
                </w:tcPr>
                <w:p w14:paraId="0DCF2680">
                  <w:pPr>
                    <w:spacing w:line="240" w:lineRule="auto"/>
                    <w:ind w:firstLine="0" w:firstLineChars="0"/>
                    <w:jc w:val="center"/>
                    <w:rPr>
                      <w:color w:val="auto"/>
                      <w:spacing w:val="0"/>
                      <w:position w:val="0"/>
                      <w:sz w:val="21"/>
                      <w:szCs w:val="21"/>
                    </w:rPr>
                  </w:pPr>
                  <w:r>
                    <w:rPr>
                      <w:color w:val="auto"/>
                      <w:spacing w:val="0"/>
                      <w:position w:val="0"/>
                      <w:sz w:val="21"/>
                      <w:szCs w:val="21"/>
                    </w:rPr>
                    <w:t>公用工程</w:t>
                  </w:r>
                </w:p>
              </w:tc>
              <w:tc>
                <w:tcPr>
                  <w:tcW w:w="817" w:type="pct"/>
                  <w:gridSpan w:val="3"/>
                  <w:tcBorders>
                    <w:tl2br w:val="nil"/>
                    <w:tr2bl w:val="nil"/>
                  </w:tcBorders>
                  <w:vAlign w:val="center"/>
                </w:tcPr>
                <w:p w14:paraId="6F472404">
                  <w:pPr>
                    <w:spacing w:line="240" w:lineRule="auto"/>
                    <w:ind w:firstLine="0" w:firstLineChars="0"/>
                    <w:jc w:val="center"/>
                    <w:rPr>
                      <w:color w:val="auto"/>
                      <w:spacing w:val="0"/>
                      <w:position w:val="0"/>
                      <w:sz w:val="21"/>
                      <w:szCs w:val="21"/>
                    </w:rPr>
                  </w:pPr>
                  <w:r>
                    <w:rPr>
                      <w:color w:val="auto"/>
                      <w:spacing w:val="0"/>
                      <w:position w:val="0"/>
                      <w:sz w:val="21"/>
                      <w:szCs w:val="21"/>
                    </w:rPr>
                    <w:t>供水</w:t>
                  </w:r>
                </w:p>
              </w:tc>
              <w:tc>
                <w:tcPr>
                  <w:tcW w:w="3170" w:type="pct"/>
                  <w:gridSpan w:val="2"/>
                  <w:tcBorders>
                    <w:tl2br w:val="nil"/>
                    <w:tr2bl w:val="nil"/>
                  </w:tcBorders>
                  <w:vAlign w:val="center"/>
                </w:tcPr>
                <w:p w14:paraId="71227BD5">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用水由</w:t>
                  </w:r>
                  <w:r>
                    <w:rPr>
                      <w:color w:val="auto"/>
                      <w:spacing w:val="0"/>
                      <w:position w:val="0"/>
                      <w:sz w:val="21"/>
                      <w:szCs w:val="21"/>
                    </w:rPr>
                    <w:t>市政供水管</w:t>
                  </w:r>
                  <w:r>
                    <w:rPr>
                      <w:rFonts w:hint="eastAsia"/>
                      <w:color w:val="auto"/>
                      <w:spacing w:val="0"/>
                      <w:position w:val="0"/>
                      <w:sz w:val="21"/>
                      <w:szCs w:val="21"/>
                    </w:rPr>
                    <w:t>网供给</w:t>
                  </w:r>
                </w:p>
              </w:tc>
              <w:tc>
                <w:tcPr>
                  <w:tcW w:w="480" w:type="pct"/>
                  <w:tcBorders>
                    <w:tl2br w:val="nil"/>
                    <w:tr2bl w:val="nil"/>
                  </w:tcBorders>
                  <w:vAlign w:val="center"/>
                </w:tcPr>
                <w:p w14:paraId="2D72E7F3">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依托</w:t>
                  </w:r>
                </w:p>
              </w:tc>
            </w:tr>
            <w:tr w14:paraId="5A2F0557">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tcBorders>
                    <w:tl2br w:val="nil"/>
                    <w:tr2bl w:val="nil"/>
                  </w:tcBorders>
                  <w:vAlign w:val="center"/>
                </w:tcPr>
                <w:p w14:paraId="63249279">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71EFE873">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0BBBD6D3">
                  <w:pPr>
                    <w:spacing w:line="240" w:lineRule="auto"/>
                    <w:ind w:firstLine="0" w:firstLineChars="0"/>
                    <w:jc w:val="center"/>
                    <w:rPr>
                      <w:color w:val="auto"/>
                      <w:spacing w:val="0"/>
                      <w:position w:val="0"/>
                      <w:sz w:val="21"/>
                      <w:szCs w:val="21"/>
                    </w:rPr>
                  </w:pPr>
                  <w:r>
                    <w:rPr>
                      <w:color w:val="auto"/>
                      <w:spacing w:val="0"/>
                      <w:position w:val="0"/>
                      <w:sz w:val="21"/>
                      <w:szCs w:val="21"/>
                    </w:rPr>
                    <w:t>排水</w:t>
                  </w:r>
                </w:p>
              </w:tc>
              <w:tc>
                <w:tcPr>
                  <w:tcW w:w="3170" w:type="pct"/>
                  <w:gridSpan w:val="2"/>
                  <w:tcBorders>
                    <w:tl2br w:val="nil"/>
                    <w:tr2bl w:val="nil"/>
                  </w:tcBorders>
                  <w:vAlign w:val="center"/>
                </w:tcPr>
                <w:p w14:paraId="4C04AC4A">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本项目生产线冷却用水循环利用，一年换一次清水，废水排入市政管网</w:t>
                  </w:r>
                  <w:r>
                    <w:rPr>
                      <w:rFonts w:hint="eastAsia"/>
                      <w:color w:val="auto"/>
                      <w:spacing w:val="0"/>
                      <w:position w:val="0"/>
                      <w:sz w:val="21"/>
                      <w:szCs w:val="21"/>
                      <w:lang w:eastAsia="zh-CN"/>
                    </w:rPr>
                    <w:t>；</w:t>
                  </w:r>
                  <w:r>
                    <w:rPr>
                      <w:rFonts w:hint="eastAsia"/>
                      <w:color w:val="auto"/>
                      <w:spacing w:val="0"/>
                      <w:position w:val="0"/>
                      <w:sz w:val="21"/>
                      <w:szCs w:val="21"/>
                    </w:rPr>
                    <w:t>生活污水排入</w:t>
                  </w:r>
                  <w:r>
                    <w:rPr>
                      <w:rFonts w:hint="eastAsia"/>
                      <w:color w:val="auto"/>
                      <w:spacing w:val="0"/>
                      <w:position w:val="0"/>
                      <w:sz w:val="21"/>
                      <w:szCs w:val="21"/>
                      <w:lang w:val="en-US" w:eastAsia="zh-CN"/>
                    </w:rPr>
                    <w:t>厂区内化粪池，处理后再排入</w:t>
                  </w:r>
                  <w:r>
                    <w:rPr>
                      <w:rFonts w:hint="eastAsia"/>
                      <w:color w:val="auto"/>
                      <w:spacing w:val="0"/>
                      <w:position w:val="0"/>
                      <w:sz w:val="21"/>
                      <w:szCs w:val="21"/>
                    </w:rPr>
                    <w:t>市政管网。</w:t>
                  </w:r>
                </w:p>
              </w:tc>
              <w:tc>
                <w:tcPr>
                  <w:tcW w:w="480" w:type="pct"/>
                  <w:tcBorders>
                    <w:tl2br w:val="nil"/>
                    <w:tr2bl w:val="nil"/>
                  </w:tcBorders>
                  <w:vAlign w:val="center"/>
                </w:tcPr>
                <w:p w14:paraId="533BFE04">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465BF85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149" w:hRule="atLeast"/>
                <w:jc w:val="center"/>
              </w:trPr>
              <w:tc>
                <w:tcPr>
                  <w:tcW w:w="265" w:type="pct"/>
                  <w:vMerge w:val="continue"/>
                  <w:tcBorders>
                    <w:tl2br w:val="nil"/>
                    <w:tr2bl w:val="nil"/>
                  </w:tcBorders>
                  <w:vAlign w:val="center"/>
                </w:tcPr>
                <w:p w14:paraId="37BE4E2B">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614D447A">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1C6079DD">
                  <w:pPr>
                    <w:spacing w:line="240" w:lineRule="auto"/>
                    <w:ind w:firstLine="0" w:firstLineChars="0"/>
                    <w:jc w:val="center"/>
                    <w:rPr>
                      <w:color w:val="auto"/>
                      <w:spacing w:val="0"/>
                      <w:position w:val="0"/>
                      <w:sz w:val="21"/>
                      <w:szCs w:val="21"/>
                    </w:rPr>
                  </w:pPr>
                  <w:r>
                    <w:rPr>
                      <w:color w:val="auto"/>
                      <w:spacing w:val="0"/>
                      <w:position w:val="0"/>
                      <w:sz w:val="21"/>
                      <w:szCs w:val="21"/>
                    </w:rPr>
                    <w:t>供电</w:t>
                  </w:r>
                </w:p>
              </w:tc>
              <w:tc>
                <w:tcPr>
                  <w:tcW w:w="3170" w:type="pct"/>
                  <w:gridSpan w:val="2"/>
                  <w:tcBorders>
                    <w:tl2br w:val="nil"/>
                    <w:tr2bl w:val="nil"/>
                  </w:tcBorders>
                  <w:vAlign w:val="center"/>
                </w:tcPr>
                <w:p w14:paraId="209784A1">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市政</w:t>
                  </w:r>
                  <w:r>
                    <w:rPr>
                      <w:rFonts w:hint="eastAsia"/>
                      <w:color w:val="auto"/>
                      <w:spacing w:val="0"/>
                      <w:position w:val="0"/>
                      <w:sz w:val="21"/>
                      <w:szCs w:val="21"/>
                    </w:rPr>
                    <w:t>电网供电</w:t>
                  </w:r>
                </w:p>
              </w:tc>
              <w:tc>
                <w:tcPr>
                  <w:tcW w:w="480" w:type="pct"/>
                  <w:tcBorders>
                    <w:tl2br w:val="nil"/>
                    <w:tr2bl w:val="nil"/>
                  </w:tcBorders>
                  <w:vAlign w:val="center"/>
                </w:tcPr>
                <w:p w14:paraId="15B0FB7A">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0463501F">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72" w:hRule="atLeast"/>
                <w:jc w:val="center"/>
              </w:trPr>
              <w:tc>
                <w:tcPr>
                  <w:tcW w:w="265" w:type="pct"/>
                  <w:vMerge w:val="continue"/>
                  <w:tcBorders>
                    <w:tl2br w:val="nil"/>
                    <w:tr2bl w:val="nil"/>
                  </w:tcBorders>
                  <w:vAlign w:val="center"/>
                </w:tcPr>
                <w:p w14:paraId="1E8BFBAC">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60A1A1F8">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44A0A8C8">
                  <w:pPr>
                    <w:spacing w:line="240" w:lineRule="auto"/>
                    <w:ind w:firstLine="0" w:firstLineChars="0"/>
                    <w:jc w:val="center"/>
                    <w:rPr>
                      <w:color w:val="auto"/>
                      <w:spacing w:val="0"/>
                      <w:position w:val="0"/>
                      <w:sz w:val="21"/>
                      <w:szCs w:val="21"/>
                    </w:rPr>
                  </w:pPr>
                  <w:r>
                    <w:rPr>
                      <w:color w:val="auto"/>
                      <w:spacing w:val="0"/>
                      <w:position w:val="0"/>
                      <w:sz w:val="21"/>
                      <w:szCs w:val="21"/>
                    </w:rPr>
                    <w:t>供</w:t>
                  </w:r>
                  <w:r>
                    <w:rPr>
                      <w:rFonts w:hint="eastAsia"/>
                      <w:color w:val="auto"/>
                      <w:spacing w:val="0"/>
                      <w:position w:val="0"/>
                      <w:sz w:val="21"/>
                      <w:szCs w:val="21"/>
                    </w:rPr>
                    <w:t>暖</w:t>
                  </w:r>
                </w:p>
              </w:tc>
              <w:tc>
                <w:tcPr>
                  <w:tcW w:w="3170" w:type="pct"/>
                  <w:gridSpan w:val="2"/>
                  <w:tcBorders>
                    <w:tl2br w:val="nil"/>
                    <w:tr2bl w:val="nil"/>
                  </w:tcBorders>
                  <w:vAlign w:val="center"/>
                </w:tcPr>
                <w:p w14:paraId="7035AEA4">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冬季宿舍采用电供暖</w:t>
                  </w:r>
                </w:p>
              </w:tc>
              <w:tc>
                <w:tcPr>
                  <w:tcW w:w="480" w:type="pct"/>
                  <w:tcBorders>
                    <w:tl2br w:val="nil"/>
                    <w:tr2bl w:val="nil"/>
                  </w:tcBorders>
                  <w:vAlign w:val="center"/>
                </w:tcPr>
                <w:p w14:paraId="19F78ED6">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依托</w:t>
                  </w:r>
                </w:p>
              </w:tc>
            </w:tr>
            <w:tr w14:paraId="0D4B435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151" w:hRule="atLeast"/>
                <w:jc w:val="center"/>
              </w:trPr>
              <w:tc>
                <w:tcPr>
                  <w:tcW w:w="265" w:type="pct"/>
                  <w:vMerge w:val="continue"/>
                  <w:tcBorders>
                    <w:tl2br w:val="nil"/>
                    <w:tr2bl w:val="nil"/>
                  </w:tcBorders>
                  <w:vAlign w:val="center"/>
                </w:tcPr>
                <w:p w14:paraId="2ADC8A48">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01435473">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7749E054">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通讯</w:t>
                  </w:r>
                </w:p>
              </w:tc>
              <w:tc>
                <w:tcPr>
                  <w:tcW w:w="3170" w:type="pct"/>
                  <w:gridSpan w:val="2"/>
                  <w:tcBorders>
                    <w:tl2br w:val="nil"/>
                    <w:tr2bl w:val="nil"/>
                  </w:tcBorders>
                  <w:vAlign w:val="center"/>
                </w:tcPr>
                <w:p w14:paraId="50B88CFD">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通信网络已覆盖</w:t>
                  </w:r>
                </w:p>
              </w:tc>
              <w:tc>
                <w:tcPr>
                  <w:tcW w:w="480" w:type="pct"/>
                  <w:tcBorders>
                    <w:tl2br w:val="nil"/>
                    <w:tr2bl w:val="nil"/>
                  </w:tcBorders>
                  <w:vAlign w:val="center"/>
                </w:tcPr>
                <w:p w14:paraId="7D7947ED">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lang w:val="en-US" w:eastAsia="zh-CN"/>
                    </w:rPr>
                    <w:t>依托</w:t>
                  </w:r>
                </w:p>
              </w:tc>
            </w:tr>
            <w:tr w14:paraId="08F4CB5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73" w:hRule="atLeast"/>
                <w:jc w:val="center"/>
              </w:trPr>
              <w:tc>
                <w:tcPr>
                  <w:tcW w:w="265" w:type="pct"/>
                  <w:vMerge w:val="restart"/>
                  <w:tcBorders>
                    <w:tl2br w:val="nil"/>
                    <w:tr2bl w:val="nil"/>
                  </w:tcBorders>
                  <w:vAlign w:val="center"/>
                </w:tcPr>
                <w:p w14:paraId="52F1924D">
                  <w:pPr>
                    <w:spacing w:line="240" w:lineRule="auto"/>
                    <w:ind w:firstLine="0" w:firstLineChars="0"/>
                    <w:jc w:val="center"/>
                    <w:rPr>
                      <w:rFonts w:hint="eastAsia" w:eastAsia="宋体"/>
                      <w:color w:val="auto"/>
                      <w:spacing w:val="0"/>
                      <w:position w:val="0"/>
                      <w:sz w:val="21"/>
                      <w:szCs w:val="21"/>
                      <w:lang w:eastAsia="zh-CN"/>
                    </w:rPr>
                  </w:pPr>
                  <w:r>
                    <w:rPr>
                      <w:rFonts w:hint="eastAsia"/>
                      <w:color w:val="auto"/>
                      <w:spacing w:val="0"/>
                      <w:position w:val="0"/>
                      <w:sz w:val="21"/>
                      <w:szCs w:val="21"/>
                      <w:lang w:val="en-US" w:eastAsia="zh-CN"/>
                    </w:rPr>
                    <w:t>5</w:t>
                  </w:r>
                </w:p>
              </w:tc>
              <w:tc>
                <w:tcPr>
                  <w:tcW w:w="265" w:type="pct"/>
                  <w:vMerge w:val="restart"/>
                  <w:tcBorders>
                    <w:tl2br w:val="nil"/>
                    <w:tr2bl w:val="nil"/>
                  </w:tcBorders>
                  <w:vAlign w:val="center"/>
                </w:tcPr>
                <w:p w14:paraId="20702DB3">
                  <w:pPr>
                    <w:spacing w:line="240" w:lineRule="auto"/>
                    <w:ind w:firstLine="0" w:firstLineChars="0"/>
                    <w:jc w:val="center"/>
                    <w:rPr>
                      <w:color w:val="auto"/>
                      <w:spacing w:val="0"/>
                      <w:position w:val="0"/>
                      <w:sz w:val="21"/>
                      <w:szCs w:val="21"/>
                    </w:rPr>
                  </w:pPr>
                  <w:r>
                    <w:rPr>
                      <w:color w:val="auto"/>
                      <w:spacing w:val="0"/>
                      <w:position w:val="0"/>
                      <w:sz w:val="21"/>
                      <w:szCs w:val="21"/>
                    </w:rPr>
                    <w:t>环保工程</w:t>
                  </w:r>
                </w:p>
              </w:tc>
              <w:tc>
                <w:tcPr>
                  <w:tcW w:w="265" w:type="pct"/>
                  <w:vMerge w:val="restart"/>
                  <w:tcBorders>
                    <w:tl2br w:val="nil"/>
                    <w:tr2bl w:val="nil"/>
                  </w:tcBorders>
                  <w:vAlign w:val="center"/>
                </w:tcPr>
                <w:p w14:paraId="2B3CAA26">
                  <w:pPr>
                    <w:spacing w:line="240" w:lineRule="auto"/>
                    <w:ind w:firstLine="0" w:firstLineChars="0"/>
                    <w:jc w:val="center"/>
                    <w:rPr>
                      <w:color w:val="auto"/>
                      <w:spacing w:val="0"/>
                      <w:position w:val="0"/>
                      <w:sz w:val="21"/>
                      <w:szCs w:val="21"/>
                    </w:rPr>
                  </w:pPr>
                  <w:r>
                    <w:rPr>
                      <w:color w:val="auto"/>
                      <w:spacing w:val="0"/>
                      <w:position w:val="0"/>
                      <w:sz w:val="21"/>
                      <w:szCs w:val="21"/>
                    </w:rPr>
                    <w:t>废气</w:t>
                  </w:r>
                  <w:r>
                    <w:rPr>
                      <w:rFonts w:hint="eastAsia"/>
                      <w:color w:val="auto"/>
                      <w:spacing w:val="0"/>
                      <w:position w:val="0"/>
                      <w:sz w:val="21"/>
                      <w:szCs w:val="21"/>
                    </w:rPr>
                    <w:t>治理</w:t>
                  </w:r>
                </w:p>
              </w:tc>
              <w:tc>
                <w:tcPr>
                  <w:tcW w:w="551" w:type="pct"/>
                  <w:gridSpan w:val="2"/>
                  <w:vMerge w:val="restart"/>
                  <w:tcBorders>
                    <w:tl2br w:val="nil"/>
                    <w:tr2bl w:val="nil"/>
                  </w:tcBorders>
                  <w:vAlign w:val="center"/>
                </w:tcPr>
                <w:p w14:paraId="1CE2FEF5">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项目原料破碎及混料产生的颗粒物</w:t>
                  </w:r>
                </w:p>
              </w:tc>
              <w:tc>
                <w:tcPr>
                  <w:tcW w:w="265" w:type="pct"/>
                  <w:tcBorders>
                    <w:tl2br w:val="nil"/>
                    <w:tr2bl w:val="nil"/>
                  </w:tcBorders>
                  <w:vAlign w:val="center"/>
                </w:tcPr>
                <w:p w14:paraId="1EF831B2">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有组织</w:t>
                  </w:r>
                </w:p>
              </w:tc>
              <w:tc>
                <w:tcPr>
                  <w:tcW w:w="3385" w:type="pct"/>
                  <w:gridSpan w:val="2"/>
                  <w:tcBorders>
                    <w:tl2br w:val="nil"/>
                    <w:tr2bl w:val="nil"/>
                  </w:tcBorders>
                  <w:vAlign w:val="center"/>
                </w:tcPr>
                <w:p w14:paraId="6FFF5C98">
                  <w:pPr>
                    <w:spacing w:line="240" w:lineRule="auto"/>
                    <w:ind w:firstLine="0" w:firstLineChars="0"/>
                    <w:jc w:val="center"/>
                    <w:rPr>
                      <w:rFonts w:hint="eastAsia"/>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由集气罩收集后</w:t>
                  </w:r>
                  <w:r>
                    <w:rPr>
                      <w:rFonts w:hint="eastAsia"/>
                      <w:color w:val="auto"/>
                      <w:spacing w:val="0"/>
                      <w:position w:val="0"/>
                      <w:sz w:val="21"/>
                      <w:szCs w:val="21"/>
                      <w:lang w:val="en-US" w:eastAsia="zh-CN"/>
                    </w:rPr>
                    <w:t>布袋除尘器处理，处理</w:t>
                  </w:r>
                  <w:r>
                    <w:rPr>
                      <w:rFonts w:hint="eastAsia"/>
                      <w:color w:val="auto"/>
                      <w:spacing w:val="0"/>
                      <w:position w:val="0"/>
                      <w:sz w:val="21"/>
                      <w:szCs w:val="21"/>
                      <w:vertAlign w:val="baseline"/>
                      <w:lang w:val="en-US" w:eastAsia="zh-CN"/>
                    </w:rPr>
                    <w:t>后由</w:t>
                  </w:r>
                  <w:r>
                    <w:rPr>
                      <w:rFonts w:hint="default" w:ascii="Times New Roman" w:hAnsi="Times New Roman" w:cs="Times New Roman"/>
                      <w:color w:val="auto"/>
                      <w:spacing w:val="0"/>
                      <w:position w:val="0"/>
                      <w:sz w:val="21"/>
                      <w:szCs w:val="21"/>
                      <w:vertAlign w:val="baseline"/>
                      <w:lang w:val="en-US" w:eastAsia="zh-CN"/>
                    </w:rPr>
                    <w:t>15m</w:t>
                  </w:r>
                  <w:r>
                    <w:rPr>
                      <w:rFonts w:hint="eastAsia"/>
                      <w:color w:val="auto"/>
                      <w:spacing w:val="0"/>
                      <w:position w:val="0"/>
                      <w:sz w:val="21"/>
                      <w:szCs w:val="21"/>
                      <w:vertAlign w:val="baseline"/>
                      <w:lang w:val="en-US" w:eastAsia="zh-CN"/>
                    </w:rPr>
                    <w:t>高排气筒（</w:t>
                  </w:r>
                  <w:r>
                    <w:rPr>
                      <w:rFonts w:hint="default" w:ascii="Times New Roman" w:hAnsi="Times New Roman" w:cs="Times New Roman"/>
                      <w:color w:val="auto"/>
                      <w:spacing w:val="0"/>
                      <w:position w:val="0"/>
                      <w:sz w:val="21"/>
                      <w:szCs w:val="21"/>
                      <w:vertAlign w:val="baseline"/>
                      <w:lang w:val="en-US" w:eastAsia="zh-CN"/>
                    </w:rPr>
                    <w:t>DA00</w:t>
                  </w:r>
                  <w:r>
                    <w:rPr>
                      <w:rFonts w:hint="eastAsia" w:cs="Times New Roman"/>
                      <w:color w:val="auto"/>
                      <w:spacing w:val="0"/>
                      <w:position w:val="0"/>
                      <w:sz w:val="21"/>
                      <w:szCs w:val="21"/>
                      <w:vertAlign w:val="baseline"/>
                      <w:lang w:val="en-US" w:eastAsia="zh-CN"/>
                    </w:rPr>
                    <w:t>1</w:t>
                  </w:r>
                  <w:r>
                    <w:rPr>
                      <w:rFonts w:hint="eastAsia"/>
                      <w:color w:val="auto"/>
                      <w:spacing w:val="0"/>
                      <w:position w:val="0"/>
                      <w:sz w:val="21"/>
                      <w:szCs w:val="21"/>
                      <w:vertAlign w:val="baseline"/>
                      <w:lang w:val="en-US" w:eastAsia="zh-CN"/>
                    </w:rPr>
                    <w:t>）排放</w:t>
                  </w:r>
                </w:p>
              </w:tc>
            </w:tr>
            <w:tr w14:paraId="7F9FC19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73" w:hRule="atLeast"/>
                <w:jc w:val="center"/>
              </w:trPr>
              <w:tc>
                <w:tcPr>
                  <w:tcW w:w="265" w:type="pct"/>
                  <w:vMerge w:val="continue"/>
                  <w:tcBorders>
                    <w:tl2br w:val="nil"/>
                    <w:tr2bl w:val="nil"/>
                  </w:tcBorders>
                  <w:vAlign w:val="center"/>
                </w:tcPr>
                <w:p w14:paraId="64140943">
                  <w:pPr>
                    <w:spacing w:line="240" w:lineRule="auto"/>
                    <w:ind w:firstLine="0" w:firstLineChars="0"/>
                    <w:jc w:val="center"/>
                  </w:pPr>
                </w:p>
              </w:tc>
              <w:tc>
                <w:tcPr>
                  <w:tcW w:w="265" w:type="pct"/>
                  <w:vMerge w:val="continue"/>
                  <w:tcBorders>
                    <w:tl2br w:val="nil"/>
                    <w:tr2bl w:val="nil"/>
                  </w:tcBorders>
                  <w:vAlign w:val="center"/>
                </w:tcPr>
                <w:p w14:paraId="37DA71DC">
                  <w:pPr>
                    <w:spacing w:line="240" w:lineRule="auto"/>
                    <w:ind w:firstLine="0" w:firstLineChars="0"/>
                    <w:jc w:val="center"/>
                  </w:pPr>
                </w:p>
              </w:tc>
              <w:tc>
                <w:tcPr>
                  <w:tcW w:w="265" w:type="pct"/>
                  <w:vMerge w:val="continue"/>
                  <w:tcBorders>
                    <w:tl2br w:val="nil"/>
                    <w:tr2bl w:val="nil"/>
                  </w:tcBorders>
                  <w:vAlign w:val="center"/>
                </w:tcPr>
                <w:p w14:paraId="15FEA681">
                  <w:pPr>
                    <w:spacing w:line="240" w:lineRule="auto"/>
                    <w:ind w:firstLine="0" w:firstLineChars="0"/>
                    <w:jc w:val="center"/>
                  </w:pPr>
                </w:p>
              </w:tc>
              <w:tc>
                <w:tcPr>
                  <w:tcW w:w="551" w:type="pct"/>
                  <w:gridSpan w:val="2"/>
                  <w:vMerge w:val="continue"/>
                  <w:tcBorders>
                    <w:tl2br w:val="nil"/>
                    <w:tr2bl w:val="nil"/>
                  </w:tcBorders>
                  <w:vAlign w:val="center"/>
                </w:tcPr>
                <w:p w14:paraId="28E0EE4C">
                  <w:pPr>
                    <w:spacing w:line="240" w:lineRule="auto"/>
                    <w:ind w:firstLine="0" w:firstLineChars="0"/>
                    <w:jc w:val="center"/>
                  </w:pPr>
                </w:p>
              </w:tc>
              <w:tc>
                <w:tcPr>
                  <w:tcW w:w="265" w:type="pct"/>
                  <w:tcBorders>
                    <w:tl2br w:val="nil"/>
                    <w:tr2bl w:val="nil"/>
                  </w:tcBorders>
                  <w:vAlign w:val="center"/>
                </w:tcPr>
                <w:p w14:paraId="10FA2B1A">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无组织</w:t>
                  </w:r>
                </w:p>
              </w:tc>
              <w:tc>
                <w:tcPr>
                  <w:tcW w:w="3385" w:type="pct"/>
                  <w:gridSpan w:val="2"/>
                  <w:tcBorders>
                    <w:tl2br w:val="nil"/>
                    <w:tr2bl w:val="nil"/>
                  </w:tcBorders>
                  <w:vAlign w:val="center"/>
                </w:tcPr>
                <w:p w14:paraId="3BD929E1">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生产线位于车间内，车间为封闭空间，经过重力降尘清扫等过程可减少80%无组织颗粒物</w:t>
                  </w:r>
                </w:p>
              </w:tc>
            </w:tr>
            <w:tr w14:paraId="6DF7736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73" w:hRule="atLeast"/>
                <w:jc w:val="center"/>
              </w:trPr>
              <w:tc>
                <w:tcPr>
                  <w:tcW w:w="265" w:type="pct"/>
                  <w:vMerge w:val="continue"/>
                  <w:tcBorders>
                    <w:tl2br w:val="nil"/>
                    <w:tr2bl w:val="nil"/>
                  </w:tcBorders>
                  <w:vAlign w:val="center"/>
                </w:tcPr>
                <w:p w14:paraId="5852DA7A">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73742A7F">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5E4C56B6">
                  <w:pPr>
                    <w:spacing w:line="240" w:lineRule="auto"/>
                    <w:ind w:firstLine="0" w:firstLineChars="0"/>
                    <w:jc w:val="center"/>
                    <w:rPr>
                      <w:color w:val="auto"/>
                      <w:spacing w:val="0"/>
                      <w:position w:val="0"/>
                      <w:sz w:val="21"/>
                      <w:szCs w:val="21"/>
                    </w:rPr>
                  </w:pPr>
                </w:p>
              </w:tc>
              <w:tc>
                <w:tcPr>
                  <w:tcW w:w="551" w:type="pct"/>
                  <w:gridSpan w:val="2"/>
                  <w:vMerge w:val="restart"/>
                  <w:tcBorders>
                    <w:tl2br w:val="nil"/>
                    <w:tr2bl w:val="nil"/>
                  </w:tcBorders>
                  <w:shd w:val="clear" w:color="auto" w:fill="auto"/>
                  <w:vAlign w:val="center"/>
                </w:tcPr>
                <w:p w14:paraId="6047EB6C">
                  <w:pPr>
                    <w:spacing w:line="240" w:lineRule="auto"/>
                    <w:ind w:firstLine="0" w:firstLineChars="0"/>
                    <w:jc w:val="center"/>
                    <w:rPr>
                      <w:rFonts w:hint="eastAsia"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管件生产区产生的有机废气</w:t>
                  </w:r>
                </w:p>
              </w:tc>
              <w:tc>
                <w:tcPr>
                  <w:tcW w:w="265" w:type="pct"/>
                  <w:tcBorders>
                    <w:tl2br w:val="nil"/>
                    <w:tr2bl w:val="nil"/>
                  </w:tcBorders>
                  <w:shd w:val="clear" w:color="auto" w:fill="auto"/>
                  <w:vAlign w:val="center"/>
                </w:tcPr>
                <w:p w14:paraId="3EFFED2C">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有组织</w:t>
                  </w:r>
                </w:p>
              </w:tc>
              <w:tc>
                <w:tcPr>
                  <w:tcW w:w="3385" w:type="pct"/>
                  <w:gridSpan w:val="2"/>
                  <w:tcBorders>
                    <w:tl2br w:val="nil"/>
                    <w:tr2bl w:val="nil"/>
                  </w:tcBorders>
                  <w:vAlign w:val="center"/>
                </w:tcPr>
                <w:p w14:paraId="59DFD0C1">
                  <w:pPr>
                    <w:spacing w:line="240" w:lineRule="auto"/>
                    <w:ind w:firstLine="0" w:firstLineChars="0"/>
                    <w:jc w:val="center"/>
                    <w:rPr>
                      <w:rFonts w:hint="eastAsia"/>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由集气罩收集后由活性炭吸附脱附，再由催化燃烧器处理，处理后由</w:t>
                  </w:r>
                  <w:r>
                    <w:rPr>
                      <w:rFonts w:hint="default" w:ascii="Times New Roman" w:hAnsi="Times New Roman" w:cs="Times New Roman"/>
                      <w:color w:val="auto"/>
                      <w:spacing w:val="0"/>
                      <w:position w:val="0"/>
                      <w:sz w:val="21"/>
                      <w:szCs w:val="21"/>
                      <w:vertAlign w:val="baseline"/>
                      <w:lang w:val="en-US" w:eastAsia="zh-CN"/>
                    </w:rPr>
                    <w:t>15m</w:t>
                  </w:r>
                  <w:r>
                    <w:rPr>
                      <w:rFonts w:hint="eastAsia"/>
                      <w:color w:val="auto"/>
                      <w:spacing w:val="0"/>
                      <w:position w:val="0"/>
                      <w:sz w:val="21"/>
                      <w:szCs w:val="21"/>
                      <w:vertAlign w:val="baseline"/>
                      <w:lang w:val="en-US" w:eastAsia="zh-CN"/>
                    </w:rPr>
                    <w:t>高排气筒（</w:t>
                  </w:r>
                  <w:r>
                    <w:rPr>
                      <w:rFonts w:hint="default" w:ascii="Times New Roman" w:hAnsi="Times New Roman" w:cs="Times New Roman"/>
                      <w:color w:val="auto"/>
                      <w:spacing w:val="0"/>
                      <w:position w:val="0"/>
                      <w:sz w:val="21"/>
                      <w:szCs w:val="21"/>
                      <w:vertAlign w:val="baseline"/>
                      <w:lang w:val="en-US" w:eastAsia="zh-CN"/>
                    </w:rPr>
                    <w:t>DA00</w:t>
                  </w:r>
                  <w:r>
                    <w:rPr>
                      <w:rFonts w:hint="eastAsia" w:ascii="Times New Roman" w:hAnsi="Times New Roman" w:cs="Times New Roman"/>
                      <w:color w:val="auto"/>
                      <w:spacing w:val="0"/>
                      <w:position w:val="0"/>
                      <w:sz w:val="21"/>
                      <w:szCs w:val="21"/>
                      <w:vertAlign w:val="baseline"/>
                      <w:lang w:val="en-US" w:eastAsia="zh-CN"/>
                    </w:rPr>
                    <w:t>2</w:t>
                  </w:r>
                  <w:r>
                    <w:rPr>
                      <w:rFonts w:hint="eastAsia"/>
                      <w:color w:val="auto"/>
                      <w:spacing w:val="0"/>
                      <w:position w:val="0"/>
                      <w:sz w:val="21"/>
                      <w:szCs w:val="21"/>
                      <w:vertAlign w:val="baseline"/>
                      <w:lang w:val="en-US" w:eastAsia="zh-CN"/>
                    </w:rPr>
                    <w:t>）排放</w:t>
                  </w:r>
                </w:p>
              </w:tc>
            </w:tr>
            <w:tr w14:paraId="70E1AB5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73" w:hRule="atLeast"/>
                <w:jc w:val="center"/>
              </w:trPr>
              <w:tc>
                <w:tcPr>
                  <w:tcW w:w="265" w:type="pct"/>
                  <w:vMerge w:val="continue"/>
                  <w:tcBorders>
                    <w:tl2br w:val="nil"/>
                    <w:tr2bl w:val="nil"/>
                  </w:tcBorders>
                  <w:vAlign w:val="center"/>
                </w:tcPr>
                <w:p w14:paraId="59CE9803">
                  <w:pPr>
                    <w:spacing w:line="240" w:lineRule="auto"/>
                    <w:ind w:firstLine="0" w:firstLineChars="0"/>
                    <w:jc w:val="center"/>
                  </w:pPr>
                </w:p>
              </w:tc>
              <w:tc>
                <w:tcPr>
                  <w:tcW w:w="265" w:type="pct"/>
                  <w:vMerge w:val="continue"/>
                  <w:tcBorders>
                    <w:tl2br w:val="nil"/>
                    <w:tr2bl w:val="nil"/>
                  </w:tcBorders>
                  <w:vAlign w:val="center"/>
                </w:tcPr>
                <w:p w14:paraId="2F7C3383">
                  <w:pPr>
                    <w:spacing w:line="240" w:lineRule="auto"/>
                    <w:ind w:firstLine="0" w:firstLineChars="0"/>
                    <w:jc w:val="center"/>
                  </w:pPr>
                </w:p>
              </w:tc>
              <w:tc>
                <w:tcPr>
                  <w:tcW w:w="265" w:type="pct"/>
                  <w:vMerge w:val="continue"/>
                  <w:tcBorders>
                    <w:tl2br w:val="nil"/>
                    <w:tr2bl w:val="nil"/>
                  </w:tcBorders>
                  <w:vAlign w:val="center"/>
                </w:tcPr>
                <w:p w14:paraId="22DFF4FA">
                  <w:pPr>
                    <w:spacing w:line="240" w:lineRule="auto"/>
                    <w:ind w:firstLine="0" w:firstLineChars="0"/>
                    <w:jc w:val="center"/>
                  </w:pPr>
                </w:p>
              </w:tc>
              <w:tc>
                <w:tcPr>
                  <w:tcW w:w="551" w:type="pct"/>
                  <w:gridSpan w:val="2"/>
                  <w:vMerge w:val="continue"/>
                  <w:tcBorders>
                    <w:tl2br w:val="nil"/>
                    <w:tr2bl w:val="nil"/>
                  </w:tcBorders>
                  <w:shd w:val="clear" w:color="auto" w:fill="auto"/>
                  <w:vAlign w:val="center"/>
                </w:tcPr>
                <w:p w14:paraId="6F4AAD99">
                  <w:pPr>
                    <w:spacing w:line="240" w:lineRule="auto"/>
                    <w:ind w:firstLine="0" w:firstLineChars="0"/>
                    <w:jc w:val="center"/>
                  </w:pPr>
                </w:p>
              </w:tc>
              <w:tc>
                <w:tcPr>
                  <w:tcW w:w="265" w:type="pct"/>
                  <w:tcBorders>
                    <w:tl2br w:val="nil"/>
                    <w:tr2bl w:val="nil"/>
                  </w:tcBorders>
                  <w:shd w:val="clear" w:color="auto" w:fill="auto"/>
                  <w:vAlign w:val="center"/>
                </w:tcPr>
                <w:p w14:paraId="229F6910">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无组织</w:t>
                  </w:r>
                </w:p>
              </w:tc>
              <w:tc>
                <w:tcPr>
                  <w:tcW w:w="3385" w:type="pct"/>
                  <w:gridSpan w:val="2"/>
                  <w:tcBorders>
                    <w:tl2br w:val="nil"/>
                    <w:tr2bl w:val="nil"/>
                  </w:tcBorders>
                  <w:vAlign w:val="center"/>
                </w:tcPr>
                <w:p w14:paraId="0564A832">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车间内四面装配有窗户，生产时有机废气收集效率为90%，剩下的少部分无组织废气可开窗通风换气以此减少车间内的无组织有机废气</w:t>
                  </w:r>
                </w:p>
              </w:tc>
            </w:tr>
            <w:tr w14:paraId="1D69F2E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676" w:hRule="atLeast"/>
                <w:jc w:val="center"/>
              </w:trPr>
              <w:tc>
                <w:tcPr>
                  <w:tcW w:w="265" w:type="pct"/>
                  <w:vMerge w:val="continue"/>
                  <w:tcBorders>
                    <w:tl2br w:val="nil"/>
                    <w:tr2bl w:val="nil"/>
                  </w:tcBorders>
                  <w:vAlign w:val="center"/>
                </w:tcPr>
                <w:p w14:paraId="77C1349A">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32A6848D">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056D6B96">
                  <w:pPr>
                    <w:spacing w:line="240" w:lineRule="auto"/>
                    <w:ind w:firstLine="0" w:firstLineChars="0"/>
                    <w:jc w:val="center"/>
                    <w:rPr>
                      <w:color w:val="auto"/>
                      <w:spacing w:val="0"/>
                      <w:position w:val="0"/>
                      <w:sz w:val="21"/>
                      <w:szCs w:val="21"/>
                    </w:rPr>
                  </w:pPr>
                </w:p>
              </w:tc>
              <w:tc>
                <w:tcPr>
                  <w:tcW w:w="551" w:type="pct"/>
                  <w:gridSpan w:val="2"/>
                  <w:vMerge w:val="restart"/>
                  <w:tcBorders>
                    <w:tl2br w:val="nil"/>
                    <w:tr2bl w:val="nil"/>
                  </w:tcBorders>
                  <w:vAlign w:val="center"/>
                </w:tcPr>
                <w:p w14:paraId="0E460763">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打包带生产区产生的有机废气</w:t>
                  </w:r>
                </w:p>
              </w:tc>
              <w:tc>
                <w:tcPr>
                  <w:tcW w:w="265" w:type="pct"/>
                  <w:tcBorders>
                    <w:tl2br w:val="nil"/>
                    <w:tr2bl w:val="nil"/>
                  </w:tcBorders>
                  <w:vAlign w:val="center"/>
                </w:tcPr>
                <w:p w14:paraId="4E73468E">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有组织</w:t>
                  </w:r>
                </w:p>
              </w:tc>
              <w:tc>
                <w:tcPr>
                  <w:tcW w:w="3385" w:type="pct"/>
                  <w:gridSpan w:val="2"/>
                  <w:tcBorders>
                    <w:tl2br w:val="nil"/>
                    <w:tr2bl w:val="nil"/>
                  </w:tcBorders>
                  <w:shd w:val="clear" w:color="auto" w:fill="auto"/>
                  <w:vAlign w:val="center"/>
                </w:tcPr>
                <w:p w14:paraId="2BE1B7D1">
                  <w:pPr>
                    <w:spacing w:line="240" w:lineRule="auto"/>
                    <w:ind w:firstLine="0" w:firstLineChars="0"/>
                    <w:jc w:val="center"/>
                    <w:rPr>
                      <w:rFonts w:hint="eastAsia"/>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由集气罩收集后由活性炭吸附脱附，再由催化燃烧器处理，处理后由</w:t>
                  </w:r>
                  <w:r>
                    <w:rPr>
                      <w:rFonts w:hint="default" w:ascii="Times New Roman" w:hAnsi="Times New Roman" w:cs="Times New Roman"/>
                      <w:color w:val="auto"/>
                      <w:spacing w:val="0"/>
                      <w:position w:val="0"/>
                      <w:sz w:val="21"/>
                      <w:szCs w:val="21"/>
                      <w:vertAlign w:val="baseline"/>
                      <w:lang w:val="en-US" w:eastAsia="zh-CN"/>
                    </w:rPr>
                    <w:t>15m</w:t>
                  </w:r>
                  <w:r>
                    <w:rPr>
                      <w:rFonts w:hint="eastAsia"/>
                      <w:color w:val="auto"/>
                      <w:spacing w:val="0"/>
                      <w:position w:val="0"/>
                      <w:sz w:val="21"/>
                      <w:szCs w:val="21"/>
                      <w:vertAlign w:val="baseline"/>
                      <w:lang w:val="en-US" w:eastAsia="zh-CN"/>
                    </w:rPr>
                    <w:t>高排气筒（</w:t>
                  </w:r>
                  <w:r>
                    <w:rPr>
                      <w:rFonts w:hint="default" w:ascii="Times New Roman" w:hAnsi="Times New Roman" w:cs="Times New Roman"/>
                      <w:color w:val="auto"/>
                      <w:spacing w:val="0"/>
                      <w:position w:val="0"/>
                      <w:sz w:val="21"/>
                      <w:szCs w:val="21"/>
                      <w:vertAlign w:val="baseline"/>
                      <w:lang w:val="en-US" w:eastAsia="zh-CN"/>
                    </w:rPr>
                    <w:t>DA00</w:t>
                  </w:r>
                  <w:r>
                    <w:rPr>
                      <w:rFonts w:hint="eastAsia" w:ascii="Times New Roman" w:hAnsi="Times New Roman" w:cs="Times New Roman"/>
                      <w:color w:val="auto"/>
                      <w:spacing w:val="0"/>
                      <w:position w:val="0"/>
                      <w:sz w:val="21"/>
                      <w:szCs w:val="21"/>
                      <w:vertAlign w:val="baseline"/>
                      <w:lang w:val="en-US" w:eastAsia="zh-CN"/>
                    </w:rPr>
                    <w:t>2</w:t>
                  </w:r>
                  <w:r>
                    <w:rPr>
                      <w:rFonts w:hint="eastAsia"/>
                      <w:color w:val="auto"/>
                      <w:spacing w:val="0"/>
                      <w:position w:val="0"/>
                      <w:sz w:val="21"/>
                      <w:szCs w:val="21"/>
                      <w:vertAlign w:val="baseline"/>
                      <w:lang w:val="en-US" w:eastAsia="zh-CN"/>
                    </w:rPr>
                    <w:t>）排放</w:t>
                  </w:r>
                </w:p>
              </w:tc>
            </w:tr>
            <w:tr w14:paraId="48FFF2BE">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128" w:hRule="atLeast"/>
                <w:jc w:val="center"/>
              </w:trPr>
              <w:tc>
                <w:tcPr>
                  <w:tcW w:w="265" w:type="pct"/>
                  <w:vMerge w:val="continue"/>
                  <w:tcBorders>
                    <w:tl2br w:val="nil"/>
                    <w:tr2bl w:val="nil"/>
                  </w:tcBorders>
                  <w:vAlign w:val="center"/>
                </w:tcPr>
                <w:p w14:paraId="5AB420B5">
                  <w:pPr>
                    <w:spacing w:line="240" w:lineRule="auto"/>
                    <w:ind w:firstLine="0" w:firstLineChars="0"/>
                    <w:jc w:val="center"/>
                  </w:pPr>
                </w:p>
              </w:tc>
              <w:tc>
                <w:tcPr>
                  <w:tcW w:w="265" w:type="pct"/>
                  <w:vMerge w:val="continue"/>
                  <w:tcBorders>
                    <w:tl2br w:val="nil"/>
                    <w:tr2bl w:val="nil"/>
                  </w:tcBorders>
                  <w:vAlign w:val="center"/>
                </w:tcPr>
                <w:p w14:paraId="028CAC17">
                  <w:pPr>
                    <w:spacing w:line="240" w:lineRule="auto"/>
                    <w:ind w:firstLine="0" w:firstLineChars="0"/>
                    <w:jc w:val="center"/>
                  </w:pPr>
                </w:p>
              </w:tc>
              <w:tc>
                <w:tcPr>
                  <w:tcW w:w="265" w:type="pct"/>
                  <w:vMerge w:val="continue"/>
                  <w:tcBorders>
                    <w:tl2br w:val="nil"/>
                    <w:tr2bl w:val="nil"/>
                  </w:tcBorders>
                  <w:vAlign w:val="center"/>
                </w:tcPr>
                <w:p w14:paraId="714912B5">
                  <w:pPr>
                    <w:spacing w:line="240" w:lineRule="auto"/>
                    <w:ind w:firstLine="0" w:firstLineChars="0"/>
                    <w:jc w:val="center"/>
                  </w:pPr>
                </w:p>
              </w:tc>
              <w:tc>
                <w:tcPr>
                  <w:tcW w:w="551" w:type="pct"/>
                  <w:gridSpan w:val="2"/>
                  <w:vMerge w:val="continue"/>
                  <w:tcBorders>
                    <w:tl2br w:val="nil"/>
                    <w:tr2bl w:val="nil"/>
                  </w:tcBorders>
                  <w:vAlign w:val="center"/>
                </w:tcPr>
                <w:p w14:paraId="159F2FC8">
                  <w:pPr>
                    <w:spacing w:line="240" w:lineRule="auto"/>
                    <w:ind w:firstLine="0" w:firstLineChars="0"/>
                    <w:jc w:val="center"/>
                  </w:pPr>
                </w:p>
              </w:tc>
              <w:tc>
                <w:tcPr>
                  <w:tcW w:w="265" w:type="pct"/>
                  <w:tcBorders>
                    <w:tl2br w:val="nil"/>
                    <w:tr2bl w:val="nil"/>
                  </w:tcBorders>
                  <w:vAlign w:val="center"/>
                </w:tcPr>
                <w:p w14:paraId="3E1D30B6">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无组织</w:t>
                  </w:r>
                </w:p>
              </w:tc>
              <w:tc>
                <w:tcPr>
                  <w:tcW w:w="3385" w:type="pct"/>
                  <w:gridSpan w:val="2"/>
                  <w:tcBorders>
                    <w:tl2br w:val="nil"/>
                    <w:tr2bl w:val="nil"/>
                  </w:tcBorders>
                  <w:shd w:val="clear" w:color="auto" w:fill="auto"/>
                  <w:vAlign w:val="center"/>
                </w:tcPr>
                <w:p w14:paraId="5DF929EF">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车间内四面装配有窗户，生产时可开窗通风换气以此减少无组织有机废气</w:t>
                  </w:r>
                </w:p>
              </w:tc>
            </w:tr>
            <w:tr w14:paraId="32B5B42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1" w:hRule="atLeast"/>
                <w:jc w:val="center"/>
              </w:trPr>
              <w:tc>
                <w:tcPr>
                  <w:tcW w:w="265" w:type="pct"/>
                  <w:vMerge w:val="continue"/>
                  <w:tcBorders>
                    <w:tl2br w:val="nil"/>
                    <w:tr2bl w:val="nil"/>
                  </w:tcBorders>
                  <w:vAlign w:val="center"/>
                </w:tcPr>
                <w:p w14:paraId="31BD9A13">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28FF0AF3">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31E3DC78">
                  <w:pPr>
                    <w:spacing w:line="240" w:lineRule="auto"/>
                    <w:ind w:firstLine="0" w:firstLineChars="0"/>
                    <w:jc w:val="center"/>
                    <w:rPr>
                      <w:color w:val="auto"/>
                      <w:spacing w:val="0"/>
                      <w:position w:val="0"/>
                      <w:sz w:val="21"/>
                      <w:szCs w:val="21"/>
                    </w:rPr>
                  </w:pPr>
                  <w:r>
                    <w:rPr>
                      <w:color w:val="auto"/>
                      <w:spacing w:val="0"/>
                      <w:position w:val="0"/>
                      <w:sz w:val="21"/>
                      <w:szCs w:val="21"/>
                    </w:rPr>
                    <w:t>废水</w:t>
                  </w:r>
                  <w:r>
                    <w:rPr>
                      <w:rFonts w:hint="eastAsia"/>
                      <w:color w:val="auto"/>
                      <w:spacing w:val="0"/>
                      <w:position w:val="0"/>
                      <w:sz w:val="21"/>
                      <w:szCs w:val="21"/>
                    </w:rPr>
                    <w:t>治理</w:t>
                  </w:r>
                </w:p>
              </w:tc>
              <w:tc>
                <w:tcPr>
                  <w:tcW w:w="3651" w:type="pct"/>
                  <w:gridSpan w:val="3"/>
                  <w:tcBorders>
                    <w:tl2br w:val="nil"/>
                    <w:tr2bl w:val="nil"/>
                  </w:tcBorders>
                  <w:vAlign w:val="center"/>
                </w:tcPr>
                <w:p w14:paraId="2CBE6ACA">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本项目生产线冷却用水循环利用，一年换一次清水，废水排入市政管网</w:t>
                  </w:r>
                  <w:r>
                    <w:rPr>
                      <w:rFonts w:hint="eastAsia"/>
                      <w:color w:val="auto"/>
                      <w:spacing w:val="0"/>
                      <w:position w:val="0"/>
                      <w:sz w:val="21"/>
                      <w:szCs w:val="21"/>
                      <w:lang w:eastAsia="zh-CN"/>
                    </w:rPr>
                    <w:t>；</w:t>
                  </w:r>
                  <w:r>
                    <w:rPr>
                      <w:rFonts w:hint="eastAsia"/>
                      <w:color w:val="auto"/>
                      <w:spacing w:val="0"/>
                      <w:position w:val="0"/>
                      <w:sz w:val="21"/>
                      <w:szCs w:val="21"/>
                    </w:rPr>
                    <w:t>生活污水排入</w:t>
                  </w:r>
                  <w:r>
                    <w:rPr>
                      <w:rFonts w:hint="eastAsia"/>
                      <w:color w:val="auto"/>
                      <w:spacing w:val="0"/>
                      <w:position w:val="0"/>
                      <w:sz w:val="21"/>
                      <w:szCs w:val="21"/>
                      <w:lang w:val="en-US" w:eastAsia="zh-CN"/>
                    </w:rPr>
                    <w:t>厂区内化粪池，处理后再排入</w:t>
                  </w:r>
                  <w:r>
                    <w:rPr>
                      <w:rFonts w:hint="eastAsia"/>
                      <w:color w:val="auto"/>
                      <w:spacing w:val="0"/>
                      <w:position w:val="0"/>
                      <w:sz w:val="21"/>
                      <w:szCs w:val="21"/>
                    </w:rPr>
                    <w:t>市政管网</w:t>
                  </w:r>
                  <w:r>
                    <w:rPr>
                      <w:rFonts w:hint="eastAsia"/>
                      <w:color w:val="auto"/>
                      <w:spacing w:val="0"/>
                      <w:position w:val="0"/>
                      <w:sz w:val="21"/>
                      <w:szCs w:val="21"/>
                      <w:lang w:val="en-US" w:eastAsia="zh-CN"/>
                    </w:rPr>
                    <w:t>由天北经开区污水处理厂处理</w:t>
                  </w:r>
                </w:p>
              </w:tc>
            </w:tr>
            <w:tr w14:paraId="3608EFF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01" w:hRule="atLeast"/>
                <w:jc w:val="center"/>
              </w:trPr>
              <w:tc>
                <w:tcPr>
                  <w:tcW w:w="265" w:type="pct"/>
                  <w:vMerge w:val="continue"/>
                  <w:tcBorders>
                    <w:tl2br w:val="nil"/>
                    <w:tr2bl w:val="nil"/>
                  </w:tcBorders>
                  <w:vAlign w:val="center"/>
                </w:tcPr>
                <w:p w14:paraId="02E5C8C5">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04DE20C5">
                  <w:pPr>
                    <w:spacing w:line="240" w:lineRule="auto"/>
                    <w:ind w:firstLine="0" w:firstLineChars="0"/>
                    <w:jc w:val="center"/>
                    <w:rPr>
                      <w:color w:val="auto"/>
                      <w:spacing w:val="0"/>
                      <w:position w:val="0"/>
                      <w:sz w:val="21"/>
                      <w:szCs w:val="21"/>
                    </w:rPr>
                  </w:pPr>
                </w:p>
              </w:tc>
              <w:tc>
                <w:tcPr>
                  <w:tcW w:w="817" w:type="pct"/>
                  <w:gridSpan w:val="3"/>
                  <w:tcBorders>
                    <w:tl2br w:val="nil"/>
                    <w:tr2bl w:val="nil"/>
                  </w:tcBorders>
                  <w:vAlign w:val="center"/>
                </w:tcPr>
                <w:p w14:paraId="12651C4E">
                  <w:pPr>
                    <w:spacing w:line="240" w:lineRule="auto"/>
                    <w:ind w:firstLine="0" w:firstLineChars="0"/>
                    <w:jc w:val="center"/>
                    <w:rPr>
                      <w:color w:val="auto"/>
                      <w:spacing w:val="0"/>
                      <w:position w:val="0"/>
                      <w:sz w:val="21"/>
                      <w:szCs w:val="21"/>
                    </w:rPr>
                  </w:pPr>
                  <w:r>
                    <w:rPr>
                      <w:color w:val="auto"/>
                      <w:spacing w:val="0"/>
                      <w:position w:val="0"/>
                      <w:sz w:val="21"/>
                      <w:szCs w:val="21"/>
                    </w:rPr>
                    <w:t>噪声</w:t>
                  </w:r>
                  <w:r>
                    <w:rPr>
                      <w:rFonts w:hint="eastAsia"/>
                      <w:color w:val="auto"/>
                      <w:spacing w:val="0"/>
                      <w:position w:val="0"/>
                      <w:sz w:val="21"/>
                      <w:szCs w:val="21"/>
                    </w:rPr>
                    <w:t>治理</w:t>
                  </w:r>
                </w:p>
              </w:tc>
              <w:tc>
                <w:tcPr>
                  <w:tcW w:w="3651" w:type="pct"/>
                  <w:gridSpan w:val="3"/>
                  <w:tcBorders>
                    <w:tl2br w:val="nil"/>
                    <w:tr2bl w:val="nil"/>
                  </w:tcBorders>
                  <w:vAlign w:val="center"/>
                </w:tcPr>
                <w:p w14:paraId="622F6B4C">
                  <w:pPr>
                    <w:spacing w:line="240" w:lineRule="auto"/>
                    <w:ind w:firstLine="0" w:firstLineChars="0"/>
                    <w:jc w:val="center"/>
                    <w:rPr>
                      <w:color w:val="auto"/>
                      <w:spacing w:val="0"/>
                      <w:position w:val="0"/>
                      <w:sz w:val="21"/>
                      <w:szCs w:val="21"/>
                    </w:rPr>
                  </w:pPr>
                  <w:r>
                    <w:rPr>
                      <w:color w:val="auto"/>
                      <w:spacing w:val="0"/>
                      <w:position w:val="0"/>
                      <w:sz w:val="21"/>
                      <w:szCs w:val="21"/>
                    </w:rPr>
                    <w:t>选用低噪设备，</w:t>
                  </w:r>
                  <w:r>
                    <w:rPr>
                      <w:rFonts w:hint="eastAsia"/>
                      <w:color w:val="auto"/>
                      <w:spacing w:val="0"/>
                      <w:position w:val="0"/>
                      <w:sz w:val="21"/>
                      <w:szCs w:val="21"/>
                    </w:rPr>
                    <w:t>基础减震，</w:t>
                  </w:r>
                  <w:r>
                    <w:rPr>
                      <w:color w:val="auto"/>
                      <w:spacing w:val="0"/>
                      <w:position w:val="0"/>
                      <w:sz w:val="21"/>
                      <w:szCs w:val="21"/>
                    </w:rPr>
                    <w:t>定期维护</w:t>
                  </w:r>
                </w:p>
              </w:tc>
            </w:tr>
            <w:tr w14:paraId="67A0A4B4">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34" w:hRule="atLeast"/>
                <w:jc w:val="center"/>
              </w:trPr>
              <w:tc>
                <w:tcPr>
                  <w:tcW w:w="265" w:type="pct"/>
                  <w:vMerge w:val="continue"/>
                  <w:tcBorders>
                    <w:tl2br w:val="nil"/>
                    <w:tr2bl w:val="nil"/>
                  </w:tcBorders>
                  <w:vAlign w:val="center"/>
                </w:tcPr>
                <w:p w14:paraId="1E22F198">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35C92A3F">
                  <w:pPr>
                    <w:spacing w:line="240" w:lineRule="auto"/>
                    <w:ind w:firstLine="0" w:firstLineChars="0"/>
                    <w:jc w:val="center"/>
                    <w:rPr>
                      <w:color w:val="auto"/>
                      <w:spacing w:val="0"/>
                      <w:position w:val="0"/>
                      <w:sz w:val="21"/>
                      <w:szCs w:val="21"/>
                    </w:rPr>
                  </w:pPr>
                </w:p>
              </w:tc>
              <w:tc>
                <w:tcPr>
                  <w:tcW w:w="817" w:type="pct"/>
                  <w:gridSpan w:val="3"/>
                  <w:vMerge w:val="restart"/>
                  <w:tcBorders>
                    <w:tl2br w:val="nil"/>
                    <w:tr2bl w:val="nil"/>
                  </w:tcBorders>
                  <w:vAlign w:val="center"/>
                </w:tcPr>
                <w:p w14:paraId="4F10B91C">
                  <w:pPr>
                    <w:spacing w:line="240" w:lineRule="auto"/>
                    <w:ind w:firstLine="0" w:firstLineChars="0"/>
                    <w:jc w:val="center"/>
                    <w:rPr>
                      <w:color w:val="auto"/>
                      <w:spacing w:val="0"/>
                      <w:position w:val="0"/>
                      <w:sz w:val="21"/>
                      <w:szCs w:val="21"/>
                    </w:rPr>
                  </w:pPr>
                  <w:r>
                    <w:rPr>
                      <w:color w:val="auto"/>
                      <w:spacing w:val="0"/>
                      <w:position w:val="0"/>
                      <w:sz w:val="21"/>
                      <w:szCs w:val="21"/>
                    </w:rPr>
                    <w:t>固废</w:t>
                  </w:r>
                  <w:r>
                    <w:rPr>
                      <w:rFonts w:hint="eastAsia"/>
                      <w:color w:val="auto"/>
                      <w:spacing w:val="0"/>
                      <w:position w:val="0"/>
                      <w:sz w:val="21"/>
                      <w:szCs w:val="21"/>
                    </w:rPr>
                    <w:t>治理</w:t>
                  </w:r>
                </w:p>
              </w:tc>
              <w:tc>
                <w:tcPr>
                  <w:tcW w:w="3651" w:type="pct"/>
                  <w:gridSpan w:val="3"/>
                  <w:tcBorders>
                    <w:tl2br w:val="nil"/>
                    <w:tr2bl w:val="nil"/>
                  </w:tcBorders>
                  <w:vAlign w:val="center"/>
                </w:tcPr>
                <w:p w14:paraId="40384E0C">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rPr>
                    <w:t>生活垃圾设置垃圾箱，由环卫部门定期清运</w:t>
                  </w:r>
                </w:p>
              </w:tc>
            </w:tr>
            <w:tr w14:paraId="3E60DF6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68" w:hRule="atLeast"/>
                <w:jc w:val="center"/>
              </w:trPr>
              <w:tc>
                <w:tcPr>
                  <w:tcW w:w="265" w:type="pct"/>
                  <w:vMerge w:val="continue"/>
                  <w:tcBorders>
                    <w:tl2br w:val="nil"/>
                    <w:tr2bl w:val="nil"/>
                  </w:tcBorders>
                  <w:vAlign w:val="center"/>
                </w:tcPr>
                <w:p w14:paraId="444ACD41">
                  <w:pPr>
                    <w:spacing w:line="240" w:lineRule="auto"/>
                    <w:ind w:firstLine="0" w:firstLineChars="0"/>
                    <w:jc w:val="center"/>
                    <w:rPr>
                      <w:color w:val="auto"/>
                      <w:spacing w:val="0"/>
                      <w:position w:val="0"/>
                      <w:sz w:val="21"/>
                      <w:szCs w:val="21"/>
                    </w:rPr>
                  </w:pPr>
                </w:p>
              </w:tc>
              <w:tc>
                <w:tcPr>
                  <w:tcW w:w="265" w:type="pct"/>
                  <w:vMerge w:val="continue"/>
                  <w:tcBorders>
                    <w:tl2br w:val="nil"/>
                    <w:tr2bl w:val="nil"/>
                  </w:tcBorders>
                  <w:vAlign w:val="center"/>
                </w:tcPr>
                <w:p w14:paraId="4944223F">
                  <w:pPr>
                    <w:spacing w:line="240" w:lineRule="auto"/>
                    <w:ind w:firstLine="0" w:firstLineChars="0"/>
                    <w:jc w:val="center"/>
                    <w:rPr>
                      <w:color w:val="auto"/>
                      <w:spacing w:val="0"/>
                      <w:position w:val="0"/>
                      <w:sz w:val="21"/>
                      <w:szCs w:val="21"/>
                    </w:rPr>
                  </w:pPr>
                </w:p>
              </w:tc>
              <w:tc>
                <w:tcPr>
                  <w:tcW w:w="817" w:type="pct"/>
                  <w:gridSpan w:val="3"/>
                  <w:vMerge w:val="continue"/>
                  <w:tcBorders>
                    <w:tl2br w:val="nil"/>
                    <w:tr2bl w:val="nil"/>
                  </w:tcBorders>
                  <w:vAlign w:val="center"/>
                </w:tcPr>
                <w:p w14:paraId="6EBE6B31">
                  <w:pPr>
                    <w:spacing w:line="240" w:lineRule="auto"/>
                    <w:ind w:firstLine="0" w:firstLineChars="0"/>
                    <w:jc w:val="center"/>
                    <w:rPr>
                      <w:color w:val="auto"/>
                      <w:spacing w:val="0"/>
                      <w:position w:val="0"/>
                      <w:sz w:val="21"/>
                      <w:szCs w:val="21"/>
                    </w:rPr>
                  </w:pPr>
                </w:p>
              </w:tc>
              <w:tc>
                <w:tcPr>
                  <w:tcW w:w="3651" w:type="pct"/>
                  <w:gridSpan w:val="3"/>
                  <w:tcBorders>
                    <w:tl2br w:val="nil"/>
                    <w:tr2bl w:val="nil"/>
                  </w:tcBorders>
                  <w:vAlign w:val="center"/>
                </w:tcPr>
                <w:p w14:paraId="5F7AFFDB">
                  <w:pPr>
                    <w:spacing w:line="240" w:lineRule="auto"/>
                    <w:ind w:firstLine="0" w:firstLineChars="0"/>
                    <w:jc w:val="center"/>
                    <w:rPr>
                      <w:rFonts w:hint="eastAsia"/>
                      <w:color w:val="auto"/>
                      <w:spacing w:val="0"/>
                      <w:position w:val="0"/>
                      <w:sz w:val="21"/>
                      <w:szCs w:val="21"/>
                    </w:rPr>
                  </w:pPr>
                  <w:r>
                    <w:rPr>
                      <w:rFonts w:hint="eastAsia"/>
                      <w:color w:val="auto"/>
                      <w:spacing w:val="0"/>
                      <w:position w:val="0"/>
                      <w:sz w:val="21"/>
                      <w:szCs w:val="21"/>
                    </w:rPr>
                    <w:t>危废暂存间</w:t>
                  </w:r>
                  <w:r>
                    <w:rPr>
                      <w:rFonts w:hint="eastAsia"/>
                      <w:color w:val="auto"/>
                      <w:spacing w:val="0"/>
                      <w:position w:val="0"/>
                      <w:sz w:val="21"/>
                      <w:szCs w:val="21"/>
                      <w:lang w:val="en-US" w:eastAsia="zh-CN"/>
                    </w:rPr>
                    <w:t>占地5m</w:t>
                  </w:r>
                  <w:r>
                    <w:rPr>
                      <w:rFonts w:hint="eastAsia"/>
                      <w:color w:val="auto"/>
                      <w:spacing w:val="0"/>
                      <w:position w:val="0"/>
                      <w:sz w:val="21"/>
                      <w:szCs w:val="21"/>
                      <w:vertAlign w:val="superscript"/>
                      <w:lang w:val="en-US" w:eastAsia="zh-CN"/>
                    </w:rPr>
                    <w:t>2</w:t>
                  </w:r>
                  <w:r>
                    <w:rPr>
                      <w:rFonts w:hint="eastAsia"/>
                      <w:color w:val="auto"/>
                      <w:spacing w:val="0"/>
                      <w:position w:val="0"/>
                      <w:sz w:val="21"/>
                      <w:szCs w:val="21"/>
                      <w:lang w:val="en-US" w:eastAsia="zh-CN"/>
                    </w:rPr>
                    <w:t>，储存项目运营过程中产生的废活性炭、废催化剂、废矿物油，</w:t>
                  </w:r>
                  <w:r>
                    <w:rPr>
                      <w:rFonts w:hint="eastAsia" w:ascii="Times New Roman" w:hAnsi="Times New Roman" w:eastAsia="宋体" w:cs="Times New Roman"/>
                      <w:b w:val="0"/>
                      <w:color w:val="auto"/>
                      <w:spacing w:val="0"/>
                      <w:position w:val="0"/>
                      <w:sz w:val="21"/>
                      <w:szCs w:val="21"/>
                      <w:highlight w:val="none"/>
                      <w:lang w:eastAsia="zh-CN"/>
                    </w:rPr>
                    <w:t>危险废物暂存</w:t>
                  </w:r>
                  <w:r>
                    <w:rPr>
                      <w:rFonts w:hint="eastAsia" w:ascii="Times New Roman" w:hAnsi="Times New Roman" w:eastAsia="宋体" w:cs="Times New Roman"/>
                      <w:b w:val="0"/>
                      <w:color w:val="auto"/>
                      <w:spacing w:val="0"/>
                      <w:position w:val="0"/>
                      <w:sz w:val="21"/>
                      <w:szCs w:val="21"/>
                      <w:highlight w:val="none"/>
                      <w:lang w:val="en-US" w:eastAsia="zh-CN"/>
                    </w:rPr>
                    <w:t>间</w:t>
                  </w:r>
                  <w:r>
                    <w:rPr>
                      <w:rFonts w:hint="eastAsia" w:ascii="Times New Roman" w:hAnsi="Times New Roman" w:eastAsia="宋体" w:cs="宋体"/>
                      <w:b w:val="0"/>
                      <w:color w:val="auto"/>
                      <w:kern w:val="0"/>
                      <w:sz w:val="21"/>
                      <w:szCs w:val="21"/>
                      <w:vertAlign w:val="baseline"/>
                      <w:lang w:val="en-US" w:eastAsia="zh-CN"/>
                    </w:rPr>
                    <w:t>地面、墙裙、导流槽、收集池采用C30混凝土浇筑建造，浇筑厚度大于15</w:t>
                  </w:r>
                  <w:r>
                    <w:rPr>
                      <w:rFonts w:hint="eastAsia" w:cs="宋体"/>
                      <w:b w:val="0"/>
                      <w:color w:val="auto"/>
                      <w:kern w:val="0"/>
                      <w:sz w:val="21"/>
                      <w:szCs w:val="21"/>
                      <w:vertAlign w:val="baseline"/>
                      <w:lang w:val="en-US" w:eastAsia="zh-CN"/>
                    </w:rPr>
                    <w:t>cm</w:t>
                  </w:r>
                  <w:r>
                    <w:rPr>
                      <w:rFonts w:hint="eastAsia" w:ascii="Times New Roman" w:hAnsi="Times New Roman" w:eastAsia="宋体" w:cs="宋体"/>
                      <w:b w:val="0"/>
                      <w:color w:val="auto"/>
                      <w:kern w:val="0"/>
                      <w:sz w:val="21"/>
                      <w:szCs w:val="21"/>
                      <w:vertAlign w:val="baseline"/>
                      <w:lang w:val="en-US" w:eastAsia="zh-CN"/>
                    </w:rPr>
                    <w:t>，清洁处理后分两次涂刷环氧树脂地坪漆，环氧树脂地坪漆厚度不应小于2mm</w:t>
                  </w:r>
                  <w:r>
                    <w:rPr>
                      <w:rFonts w:hint="eastAsia" w:ascii="Times New Roman" w:hAnsi="Times New Roman" w:eastAsia="宋体" w:cs="宋体"/>
                      <w:b w:val="0"/>
                      <w:color w:val="auto"/>
                      <w:kern w:val="0"/>
                      <w:sz w:val="21"/>
                      <w:szCs w:val="20"/>
                      <w:lang w:val="en-US" w:eastAsia="zh-CN" w:bidi="ar"/>
                    </w:rPr>
                    <w:t>，</w:t>
                  </w:r>
                  <w:r>
                    <w:rPr>
                      <w:rFonts w:hint="default" w:ascii="Times New Roman" w:hAnsi="Times New Roman" w:eastAsia="宋体" w:cs="Times New Roman"/>
                      <w:b w:val="0"/>
                      <w:color w:val="auto"/>
                      <w:spacing w:val="0"/>
                      <w:kern w:val="0"/>
                      <w:position w:val="0"/>
                      <w:sz w:val="21"/>
                      <w:szCs w:val="21"/>
                      <w:highlight w:val="none"/>
                      <w:vertAlign w:val="baseline"/>
                      <w:lang w:val="en-US" w:eastAsia="zh-CN"/>
                    </w:rPr>
                    <w:t>导流槽、</w:t>
                  </w:r>
                  <w:r>
                    <w:rPr>
                      <w:rFonts w:hint="eastAsia" w:ascii="Times New Roman" w:hAnsi="Times New Roman" w:eastAsia="宋体" w:cs="Times New Roman"/>
                      <w:b w:val="0"/>
                      <w:color w:val="auto"/>
                      <w:spacing w:val="0"/>
                      <w:kern w:val="0"/>
                      <w:position w:val="0"/>
                      <w:sz w:val="21"/>
                      <w:szCs w:val="21"/>
                      <w:highlight w:val="none"/>
                      <w:vertAlign w:val="baseline"/>
                      <w:lang w:val="en-US" w:eastAsia="zh-CN"/>
                    </w:rPr>
                    <w:t>废液收集池（容积1m</w:t>
                  </w:r>
                  <w:r>
                    <w:rPr>
                      <w:rFonts w:hint="eastAsia" w:ascii="Times New Roman" w:hAnsi="Times New Roman" w:eastAsia="宋体" w:cs="Times New Roman"/>
                      <w:b w:val="0"/>
                      <w:color w:val="auto"/>
                      <w:spacing w:val="0"/>
                      <w:kern w:val="0"/>
                      <w:position w:val="0"/>
                      <w:sz w:val="21"/>
                      <w:szCs w:val="21"/>
                      <w:highlight w:val="none"/>
                      <w:vertAlign w:val="superscript"/>
                      <w:lang w:val="en-US" w:eastAsia="zh-CN"/>
                    </w:rPr>
                    <w:t>3</w:t>
                  </w:r>
                  <w:r>
                    <w:rPr>
                      <w:rFonts w:hint="eastAsia" w:ascii="Times New Roman" w:hAnsi="Times New Roman" w:eastAsia="宋体" w:cs="Times New Roman"/>
                      <w:b w:val="0"/>
                      <w:color w:val="auto"/>
                      <w:spacing w:val="0"/>
                      <w:kern w:val="0"/>
                      <w:position w:val="0"/>
                      <w:sz w:val="21"/>
                      <w:szCs w:val="21"/>
                      <w:highlight w:val="none"/>
                      <w:vertAlign w:val="baseline"/>
                      <w:lang w:val="en-US" w:eastAsia="zh-CN"/>
                    </w:rPr>
                    <w:t>）</w:t>
                  </w:r>
                </w:p>
              </w:tc>
            </w:tr>
          </w:tbl>
          <w:p w14:paraId="25BD78D7">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b/>
                <w:bCs/>
                <w:color w:val="auto"/>
                <w:spacing w:val="0"/>
                <w:position w:val="0"/>
                <w:sz w:val="21"/>
                <w:szCs w:val="21"/>
              </w:rPr>
            </w:pPr>
            <w:r>
              <w:rPr>
                <w:rFonts w:hint="eastAsia"/>
                <w:b/>
                <w:bCs/>
                <w:color w:val="auto"/>
                <w:spacing w:val="0"/>
                <w:position w:val="0"/>
                <w:sz w:val="21"/>
                <w:szCs w:val="21"/>
                <w:lang w:val="en-US" w:eastAsia="zh-CN"/>
              </w:rPr>
              <w:t>2</w:t>
            </w:r>
            <w:r>
              <w:rPr>
                <w:b/>
                <w:bCs/>
                <w:color w:val="auto"/>
                <w:spacing w:val="0"/>
                <w:position w:val="0"/>
                <w:sz w:val="21"/>
                <w:szCs w:val="21"/>
              </w:rPr>
              <w:t>主要设备清单</w:t>
            </w:r>
          </w:p>
          <w:p w14:paraId="73CB4B1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根据本项目生产工艺要求，其主要生产设备清单见</w:t>
            </w:r>
            <w:r>
              <w:rPr>
                <w:rFonts w:hint="eastAsia"/>
                <w:color w:val="auto"/>
                <w:spacing w:val="0"/>
                <w:position w:val="0"/>
                <w:sz w:val="21"/>
                <w:szCs w:val="21"/>
              </w:rPr>
              <w:t>下</w:t>
            </w:r>
            <w:r>
              <w:rPr>
                <w:color w:val="auto"/>
                <w:spacing w:val="0"/>
                <w:position w:val="0"/>
                <w:sz w:val="21"/>
                <w:szCs w:val="21"/>
              </w:rPr>
              <w:t>表</w:t>
            </w:r>
          </w:p>
          <w:p w14:paraId="59BB5A31">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表</w:t>
            </w:r>
            <w:r>
              <w:rPr>
                <w:rFonts w:hint="eastAsia" w:ascii="Times New Roman" w:hAnsi="Times New Roman" w:eastAsia="宋体" w:cs="Times New Roman"/>
                <w:b/>
                <w:bCs/>
                <w:color w:val="auto"/>
                <w:spacing w:val="0"/>
                <w:position w:val="0"/>
                <w:sz w:val="21"/>
                <w:szCs w:val="21"/>
                <w:lang w:val="en-US" w:eastAsia="zh-CN"/>
              </w:rPr>
              <w:t xml:space="preserve">2-2 </w:t>
            </w:r>
            <w:r>
              <w:rPr>
                <w:rFonts w:hint="default" w:ascii="Times New Roman" w:hAnsi="Times New Roman" w:eastAsia="宋体" w:cs="Times New Roman"/>
                <w:b/>
                <w:bCs/>
                <w:color w:val="auto"/>
                <w:spacing w:val="0"/>
                <w:position w:val="0"/>
                <w:sz w:val="21"/>
                <w:szCs w:val="21"/>
                <w:lang w:val="en-US" w:eastAsia="zh-CN"/>
              </w:rPr>
              <w:t xml:space="preserve"> 本项目</w:t>
            </w:r>
            <w:r>
              <w:rPr>
                <w:rFonts w:hint="eastAsia" w:ascii="Times New Roman" w:hAnsi="Times New Roman" w:eastAsia="宋体" w:cs="Times New Roman"/>
                <w:b/>
                <w:bCs/>
                <w:color w:val="auto"/>
                <w:spacing w:val="0"/>
                <w:position w:val="0"/>
                <w:sz w:val="21"/>
                <w:szCs w:val="21"/>
                <w:lang w:val="en-US" w:eastAsia="zh-CN"/>
              </w:rPr>
              <w:t>加工生产线</w:t>
            </w:r>
            <w:r>
              <w:rPr>
                <w:rFonts w:hint="default" w:ascii="Times New Roman" w:hAnsi="Times New Roman" w:eastAsia="宋体" w:cs="Times New Roman"/>
                <w:b/>
                <w:bCs/>
                <w:color w:val="auto"/>
                <w:spacing w:val="0"/>
                <w:position w:val="0"/>
                <w:sz w:val="21"/>
                <w:szCs w:val="21"/>
                <w:lang w:val="en-US" w:eastAsia="zh-CN"/>
              </w:rPr>
              <w:t>主要设备一览表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30" w:type="dxa"/>
                <w:bottom w:w="0" w:type="dxa"/>
                <w:right w:w="30" w:type="dxa"/>
              </w:tblCellMar>
            </w:tblPr>
            <w:tblGrid>
              <w:gridCol w:w="844"/>
              <w:gridCol w:w="3261"/>
              <w:gridCol w:w="1417"/>
              <w:gridCol w:w="976"/>
              <w:gridCol w:w="816"/>
              <w:gridCol w:w="1039"/>
            </w:tblGrid>
            <w:tr w14:paraId="4E3F4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242" w:hRule="atLeast"/>
                <w:tblHeader/>
                <w:jc w:val="center"/>
              </w:trPr>
              <w:tc>
                <w:tcPr>
                  <w:tcW w:w="505" w:type="pct"/>
                  <w:tcBorders>
                    <w:tl2br w:val="nil"/>
                    <w:tr2bl w:val="nil"/>
                  </w:tcBorders>
                  <w:vAlign w:val="center"/>
                </w:tcPr>
                <w:p w14:paraId="32D97744">
                  <w:pPr>
                    <w:snapToGrid w:val="0"/>
                    <w:spacing w:line="240" w:lineRule="auto"/>
                    <w:ind w:firstLine="0" w:firstLineChars="0"/>
                    <w:jc w:val="center"/>
                    <w:rPr>
                      <w:color w:val="auto"/>
                      <w:spacing w:val="0"/>
                      <w:kern w:val="0"/>
                      <w:position w:val="0"/>
                      <w:sz w:val="21"/>
                      <w:szCs w:val="21"/>
                    </w:rPr>
                  </w:pPr>
                  <w:r>
                    <w:rPr>
                      <w:color w:val="auto"/>
                      <w:spacing w:val="0"/>
                      <w:kern w:val="0"/>
                      <w:position w:val="0"/>
                      <w:sz w:val="21"/>
                      <w:szCs w:val="21"/>
                    </w:rPr>
                    <w:t>序</w:t>
                  </w:r>
                  <w:r>
                    <w:rPr>
                      <w:rFonts w:hint="eastAsia"/>
                      <w:color w:val="auto"/>
                      <w:spacing w:val="0"/>
                      <w:kern w:val="0"/>
                      <w:position w:val="0"/>
                      <w:sz w:val="21"/>
                      <w:szCs w:val="21"/>
                    </w:rPr>
                    <w:t>号</w:t>
                  </w:r>
                </w:p>
              </w:tc>
              <w:tc>
                <w:tcPr>
                  <w:tcW w:w="1951" w:type="pct"/>
                  <w:tcBorders>
                    <w:tl2br w:val="nil"/>
                    <w:tr2bl w:val="nil"/>
                  </w:tcBorders>
                  <w:vAlign w:val="center"/>
                </w:tcPr>
                <w:p w14:paraId="4EA1F3AD">
                  <w:pPr>
                    <w:snapToGrid w:val="0"/>
                    <w:spacing w:line="240" w:lineRule="auto"/>
                    <w:ind w:firstLine="0" w:firstLineChars="0"/>
                    <w:jc w:val="center"/>
                    <w:rPr>
                      <w:color w:val="auto"/>
                      <w:spacing w:val="0"/>
                      <w:kern w:val="0"/>
                      <w:position w:val="0"/>
                      <w:sz w:val="21"/>
                      <w:szCs w:val="21"/>
                    </w:rPr>
                  </w:pPr>
                  <w:r>
                    <w:rPr>
                      <w:color w:val="auto"/>
                      <w:spacing w:val="0"/>
                      <w:kern w:val="0"/>
                      <w:position w:val="0"/>
                      <w:sz w:val="21"/>
                      <w:szCs w:val="21"/>
                    </w:rPr>
                    <w:t>设备名称</w:t>
                  </w:r>
                </w:p>
              </w:tc>
              <w:tc>
                <w:tcPr>
                  <w:tcW w:w="848" w:type="pct"/>
                  <w:tcBorders>
                    <w:tl2br w:val="nil"/>
                    <w:tr2bl w:val="nil"/>
                  </w:tcBorders>
                  <w:vAlign w:val="center"/>
                </w:tcPr>
                <w:p w14:paraId="1B91517B">
                  <w:pPr>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规格</w:t>
                  </w:r>
                </w:p>
              </w:tc>
              <w:tc>
                <w:tcPr>
                  <w:tcW w:w="584" w:type="pct"/>
                  <w:tcBorders>
                    <w:tl2br w:val="nil"/>
                    <w:tr2bl w:val="nil"/>
                  </w:tcBorders>
                  <w:vAlign w:val="center"/>
                </w:tcPr>
                <w:p w14:paraId="4CB76771">
                  <w:pPr>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单位</w:t>
                  </w:r>
                </w:p>
              </w:tc>
              <w:tc>
                <w:tcPr>
                  <w:tcW w:w="488" w:type="pct"/>
                  <w:tcBorders>
                    <w:tl2br w:val="nil"/>
                    <w:tr2bl w:val="nil"/>
                  </w:tcBorders>
                  <w:vAlign w:val="center"/>
                </w:tcPr>
                <w:p w14:paraId="748818A1">
                  <w:pPr>
                    <w:snapToGrid w:val="0"/>
                    <w:spacing w:line="240" w:lineRule="auto"/>
                    <w:ind w:firstLine="0" w:firstLineChars="0"/>
                    <w:jc w:val="center"/>
                    <w:rPr>
                      <w:color w:val="auto"/>
                      <w:spacing w:val="0"/>
                      <w:kern w:val="0"/>
                      <w:position w:val="0"/>
                      <w:sz w:val="21"/>
                      <w:szCs w:val="21"/>
                    </w:rPr>
                  </w:pPr>
                  <w:r>
                    <w:rPr>
                      <w:color w:val="auto"/>
                      <w:spacing w:val="0"/>
                      <w:kern w:val="0"/>
                      <w:position w:val="0"/>
                      <w:sz w:val="21"/>
                      <w:szCs w:val="21"/>
                    </w:rPr>
                    <w:t>数</w:t>
                  </w:r>
                  <w:r>
                    <w:rPr>
                      <w:rFonts w:hint="eastAsia"/>
                      <w:color w:val="auto"/>
                      <w:spacing w:val="0"/>
                      <w:kern w:val="0"/>
                      <w:position w:val="0"/>
                      <w:sz w:val="21"/>
                      <w:szCs w:val="21"/>
                    </w:rPr>
                    <w:t>量</w:t>
                  </w:r>
                </w:p>
              </w:tc>
              <w:tc>
                <w:tcPr>
                  <w:tcW w:w="622" w:type="pct"/>
                  <w:tcBorders>
                    <w:tl2br w:val="nil"/>
                    <w:tr2bl w:val="nil"/>
                  </w:tcBorders>
                  <w:vAlign w:val="center"/>
                </w:tcPr>
                <w:p w14:paraId="3E417C66">
                  <w:pPr>
                    <w:snapToGrid w:val="0"/>
                    <w:spacing w:line="240" w:lineRule="auto"/>
                    <w:ind w:firstLine="0" w:firstLineChars="0"/>
                    <w:jc w:val="center"/>
                    <w:rPr>
                      <w:color w:val="auto"/>
                      <w:spacing w:val="0"/>
                      <w:kern w:val="0"/>
                      <w:position w:val="0"/>
                      <w:sz w:val="21"/>
                      <w:szCs w:val="21"/>
                    </w:rPr>
                  </w:pPr>
                  <w:r>
                    <w:rPr>
                      <w:color w:val="auto"/>
                      <w:spacing w:val="0"/>
                      <w:kern w:val="0"/>
                      <w:position w:val="0"/>
                      <w:sz w:val="21"/>
                      <w:szCs w:val="21"/>
                    </w:rPr>
                    <w:t>备注</w:t>
                  </w:r>
                </w:p>
              </w:tc>
            </w:tr>
            <w:tr w14:paraId="7AF84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78" w:hRule="atLeast"/>
                <w:jc w:val="center"/>
              </w:trPr>
              <w:tc>
                <w:tcPr>
                  <w:tcW w:w="505" w:type="pct"/>
                  <w:tcBorders>
                    <w:tl2br w:val="nil"/>
                    <w:tr2bl w:val="nil"/>
                  </w:tcBorders>
                  <w:vAlign w:val="center"/>
                </w:tcPr>
                <w:p w14:paraId="5C4EA78C">
                  <w:pPr>
                    <w:autoSpaceDE w:val="0"/>
                    <w:autoSpaceDN w:val="0"/>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1</w:t>
                  </w:r>
                </w:p>
              </w:tc>
              <w:tc>
                <w:tcPr>
                  <w:tcW w:w="1951" w:type="pct"/>
                  <w:tcBorders>
                    <w:tl2br w:val="nil"/>
                    <w:tr2bl w:val="nil"/>
                  </w:tcBorders>
                  <w:vAlign w:val="center"/>
                </w:tcPr>
                <w:p w14:paraId="2607FCC6">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破碎机</w:t>
                  </w:r>
                </w:p>
              </w:tc>
              <w:tc>
                <w:tcPr>
                  <w:tcW w:w="848" w:type="pct"/>
                  <w:tcBorders>
                    <w:tl2br w:val="nil"/>
                    <w:tr2bl w:val="nil"/>
                  </w:tcBorders>
                  <w:vAlign w:val="center"/>
                </w:tcPr>
                <w:p w14:paraId="7CC0A2F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lang w:val="en-US" w:eastAsia="zh-CN"/>
                    </w:rPr>
                    <w:t>/</w:t>
                  </w:r>
                </w:p>
              </w:tc>
              <w:tc>
                <w:tcPr>
                  <w:tcW w:w="584" w:type="pct"/>
                  <w:tcBorders>
                    <w:tl2br w:val="nil"/>
                    <w:tr2bl w:val="nil"/>
                  </w:tcBorders>
                  <w:vAlign w:val="center"/>
                </w:tcPr>
                <w:p w14:paraId="07816CFD">
                  <w:pPr>
                    <w:autoSpaceDE w:val="0"/>
                    <w:autoSpaceDN w:val="0"/>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台</w:t>
                  </w:r>
                </w:p>
              </w:tc>
              <w:tc>
                <w:tcPr>
                  <w:tcW w:w="488" w:type="pct"/>
                  <w:tcBorders>
                    <w:tl2br w:val="nil"/>
                    <w:tr2bl w:val="nil"/>
                  </w:tcBorders>
                  <w:vAlign w:val="center"/>
                </w:tcPr>
                <w:p w14:paraId="0B1B941C">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1</w:t>
                  </w:r>
                </w:p>
              </w:tc>
              <w:tc>
                <w:tcPr>
                  <w:tcW w:w="622" w:type="pct"/>
                  <w:tcBorders>
                    <w:tl2br w:val="nil"/>
                    <w:tr2bl w:val="nil"/>
                  </w:tcBorders>
                  <w:vAlign w:val="center"/>
                </w:tcPr>
                <w:p w14:paraId="454DC1A9">
                  <w:pPr>
                    <w:autoSpaceDE w:val="0"/>
                    <w:autoSpaceDN w:val="0"/>
                    <w:snapToGrid w:val="0"/>
                    <w:spacing w:line="240" w:lineRule="auto"/>
                    <w:ind w:firstLine="0" w:firstLineChars="0"/>
                    <w:jc w:val="center"/>
                    <w:rPr>
                      <w:color w:val="auto"/>
                      <w:spacing w:val="0"/>
                      <w:kern w:val="0"/>
                      <w:position w:val="0"/>
                      <w:sz w:val="21"/>
                      <w:szCs w:val="21"/>
                    </w:rPr>
                  </w:pPr>
                </w:p>
              </w:tc>
            </w:tr>
            <w:tr w14:paraId="69DA1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07" w:hRule="atLeast"/>
                <w:jc w:val="center"/>
              </w:trPr>
              <w:tc>
                <w:tcPr>
                  <w:tcW w:w="505" w:type="pct"/>
                  <w:tcBorders>
                    <w:tl2br w:val="nil"/>
                    <w:tr2bl w:val="nil"/>
                  </w:tcBorders>
                  <w:vAlign w:val="center"/>
                </w:tcPr>
                <w:p w14:paraId="206A8F58">
                  <w:pPr>
                    <w:autoSpaceDE w:val="0"/>
                    <w:autoSpaceDN w:val="0"/>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2</w:t>
                  </w:r>
                </w:p>
              </w:tc>
              <w:tc>
                <w:tcPr>
                  <w:tcW w:w="1951" w:type="pct"/>
                  <w:tcBorders>
                    <w:tl2br w:val="nil"/>
                    <w:tr2bl w:val="nil"/>
                  </w:tcBorders>
                  <w:vAlign w:val="center"/>
                </w:tcPr>
                <w:p w14:paraId="6BCA03EB">
                  <w:pPr>
                    <w:snapToGrid w:val="0"/>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混料机</w:t>
                  </w:r>
                </w:p>
              </w:tc>
              <w:tc>
                <w:tcPr>
                  <w:tcW w:w="848" w:type="pct"/>
                  <w:tcBorders>
                    <w:tl2br w:val="nil"/>
                    <w:tr2bl w:val="nil"/>
                  </w:tcBorders>
                  <w:vAlign w:val="center"/>
                </w:tcPr>
                <w:p w14:paraId="119E6A7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lang w:val="en-US" w:eastAsia="zh-CN"/>
                    </w:rPr>
                    <w:t>/</w:t>
                  </w:r>
                </w:p>
              </w:tc>
              <w:tc>
                <w:tcPr>
                  <w:tcW w:w="584" w:type="pct"/>
                  <w:tcBorders>
                    <w:tl2br w:val="nil"/>
                    <w:tr2bl w:val="nil"/>
                  </w:tcBorders>
                  <w:vAlign w:val="center"/>
                </w:tcPr>
                <w:p w14:paraId="0BE06B12">
                  <w:pPr>
                    <w:autoSpaceDE w:val="0"/>
                    <w:autoSpaceDN w:val="0"/>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台</w:t>
                  </w:r>
                </w:p>
              </w:tc>
              <w:tc>
                <w:tcPr>
                  <w:tcW w:w="488" w:type="pct"/>
                  <w:tcBorders>
                    <w:tl2br w:val="nil"/>
                    <w:tr2bl w:val="nil"/>
                  </w:tcBorders>
                  <w:vAlign w:val="center"/>
                </w:tcPr>
                <w:p w14:paraId="6FC536F5">
                  <w:pPr>
                    <w:autoSpaceDE w:val="0"/>
                    <w:autoSpaceDN w:val="0"/>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2</w:t>
                  </w:r>
                </w:p>
              </w:tc>
              <w:tc>
                <w:tcPr>
                  <w:tcW w:w="622" w:type="pct"/>
                  <w:tcBorders>
                    <w:tl2br w:val="nil"/>
                    <w:tr2bl w:val="nil"/>
                  </w:tcBorders>
                  <w:vAlign w:val="center"/>
                </w:tcPr>
                <w:p w14:paraId="3FCD1EA8">
                  <w:pPr>
                    <w:autoSpaceDE w:val="0"/>
                    <w:autoSpaceDN w:val="0"/>
                    <w:snapToGrid w:val="0"/>
                    <w:spacing w:line="240" w:lineRule="auto"/>
                    <w:ind w:firstLine="0" w:firstLineChars="0"/>
                    <w:jc w:val="center"/>
                    <w:rPr>
                      <w:color w:val="auto"/>
                      <w:spacing w:val="0"/>
                      <w:kern w:val="0"/>
                      <w:position w:val="0"/>
                      <w:sz w:val="21"/>
                      <w:szCs w:val="21"/>
                    </w:rPr>
                  </w:pPr>
                </w:p>
              </w:tc>
            </w:tr>
            <w:tr w14:paraId="6054F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94" w:hRule="atLeast"/>
                <w:jc w:val="center"/>
              </w:trPr>
              <w:tc>
                <w:tcPr>
                  <w:tcW w:w="505" w:type="pct"/>
                  <w:tcBorders>
                    <w:tl2br w:val="nil"/>
                    <w:tr2bl w:val="nil"/>
                  </w:tcBorders>
                  <w:vAlign w:val="center"/>
                </w:tcPr>
                <w:p w14:paraId="71D318BE">
                  <w:pPr>
                    <w:autoSpaceDE w:val="0"/>
                    <w:autoSpaceDN w:val="0"/>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3</w:t>
                  </w:r>
                </w:p>
              </w:tc>
              <w:tc>
                <w:tcPr>
                  <w:tcW w:w="1951" w:type="pct"/>
                  <w:tcBorders>
                    <w:tl2br w:val="nil"/>
                    <w:tr2bl w:val="nil"/>
                  </w:tcBorders>
                  <w:vAlign w:val="center"/>
                </w:tcPr>
                <w:p w14:paraId="1919711F">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color w:val="auto"/>
                      <w:spacing w:val="0"/>
                      <w:position w:val="0"/>
                      <w:sz w:val="21"/>
                      <w:szCs w:val="21"/>
                    </w:rPr>
                  </w:pPr>
                  <w:r>
                    <w:rPr>
                      <w:rFonts w:hint="eastAsia" w:ascii="宋体" w:hAnsi="宋体" w:cs="宋体"/>
                      <w:color w:val="auto"/>
                      <w:spacing w:val="0"/>
                      <w:position w:val="0"/>
                      <w:sz w:val="21"/>
                      <w:szCs w:val="21"/>
                      <w:lang w:val="en-US" w:eastAsia="zh-CN"/>
                    </w:rPr>
                    <w:t>管件</w:t>
                  </w:r>
                  <w:r>
                    <w:rPr>
                      <w:rFonts w:ascii="宋体" w:hAnsi="宋体" w:eastAsia="宋体" w:cs="宋体"/>
                      <w:color w:val="auto"/>
                      <w:spacing w:val="0"/>
                      <w:position w:val="0"/>
                      <w:sz w:val="21"/>
                      <w:szCs w:val="21"/>
                    </w:rPr>
                    <w:t>挤塑机</w:t>
                  </w:r>
                </w:p>
              </w:tc>
              <w:tc>
                <w:tcPr>
                  <w:tcW w:w="848" w:type="pct"/>
                  <w:tcBorders>
                    <w:tl2br w:val="nil"/>
                    <w:tr2bl w:val="nil"/>
                  </w:tcBorders>
                  <w:vAlign w:val="center"/>
                </w:tcPr>
                <w:p w14:paraId="35A976C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w:t>
                  </w:r>
                </w:p>
              </w:tc>
              <w:tc>
                <w:tcPr>
                  <w:tcW w:w="584" w:type="pct"/>
                  <w:tcBorders>
                    <w:tl2br w:val="nil"/>
                    <w:tr2bl w:val="nil"/>
                  </w:tcBorders>
                  <w:vAlign w:val="center"/>
                </w:tcPr>
                <w:p w14:paraId="76F23EBF">
                  <w:pPr>
                    <w:autoSpaceDE w:val="0"/>
                    <w:autoSpaceDN w:val="0"/>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台</w:t>
                  </w:r>
                </w:p>
              </w:tc>
              <w:tc>
                <w:tcPr>
                  <w:tcW w:w="488" w:type="pct"/>
                  <w:tcBorders>
                    <w:tl2br w:val="nil"/>
                    <w:tr2bl w:val="nil"/>
                  </w:tcBorders>
                  <w:vAlign w:val="center"/>
                </w:tcPr>
                <w:p w14:paraId="5100B1B0">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color w:val="auto"/>
                      <w:spacing w:val="0"/>
                      <w:kern w:val="0"/>
                      <w:position w:val="0"/>
                      <w:sz w:val="21"/>
                      <w:szCs w:val="21"/>
                    </w:rPr>
                    <w:t>1</w:t>
                  </w:r>
                  <w:r>
                    <w:rPr>
                      <w:rFonts w:hint="eastAsia"/>
                      <w:color w:val="auto"/>
                      <w:spacing w:val="0"/>
                      <w:kern w:val="0"/>
                      <w:position w:val="0"/>
                      <w:sz w:val="21"/>
                      <w:szCs w:val="21"/>
                      <w:lang w:val="en-US" w:eastAsia="zh-CN"/>
                    </w:rPr>
                    <w:t>0</w:t>
                  </w:r>
                </w:p>
              </w:tc>
              <w:tc>
                <w:tcPr>
                  <w:tcW w:w="622" w:type="pct"/>
                  <w:tcBorders>
                    <w:tl2br w:val="nil"/>
                    <w:tr2bl w:val="nil"/>
                  </w:tcBorders>
                  <w:vAlign w:val="center"/>
                </w:tcPr>
                <w:p w14:paraId="05F3A0F1">
                  <w:pPr>
                    <w:autoSpaceDE w:val="0"/>
                    <w:autoSpaceDN w:val="0"/>
                    <w:snapToGrid w:val="0"/>
                    <w:spacing w:line="240" w:lineRule="auto"/>
                    <w:ind w:firstLine="0" w:firstLineChars="0"/>
                    <w:jc w:val="center"/>
                    <w:rPr>
                      <w:color w:val="auto"/>
                      <w:spacing w:val="0"/>
                      <w:kern w:val="0"/>
                      <w:position w:val="0"/>
                      <w:sz w:val="21"/>
                      <w:szCs w:val="21"/>
                    </w:rPr>
                  </w:pPr>
                </w:p>
              </w:tc>
            </w:tr>
            <w:tr w14:paraId="241A1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28" w:hRule="atLeast"/>
                <w:jc w:val="center"/>
              </w:trPr>
              <w:tc>
                <w:tcPr>
                  <w:tcW w:w="505" w:type="pct"/>
                  <w:tcBorders>
                    <w:tl2br w:val="nil"/>
                    <w:tr2bl w:val="nil"/>
                  </w:tcBorders>
                  <w:vAlign w:val="center"/>
                </w:tcPr>
                <w:p w14:paraId="11D93BBC">
                  <w:pPr>
                    <w:autoSpaceDE w:val="0"/>
                    <w:autoSpaceDN w:val="0"/>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4</w:t>
                  </w:r>
                </w:p>
              </w:tc>
              <w:tc>
                <w:tcPr>
                  <w:tcW w:w="1951" w:type="pct"/>
                  <w:tcBorders>
                    <w:tl2br w:val="nil"/>
                    <w:tr2bl w:val="nil"/>
                  </w:tcBorders>
                  <w:vAlign w:val="center"/>
                </w:tcPr>
                <w:p w14:paraId="5840CF9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color w:val="auto"/>
                      <w:spacing w:val="0"/>
                      <w:position w:val="0"/>
                      <w:sz w:val="21"/>
                      <w:szCs w:val="21"/>
                    </w:rPr>
                  </w:pPr>
                  <w:r>
                    <w:rPr>
                      <w:rFonts w:hint="eastAsia" w:ascii="宋体" w:hAnsi="宋体" w:cs="宋体"/>
                      <w:color w:val="auto"/>
                      <w:spacing w:val="0"/>
                      <w:position w:val="0"/>
                      <w:sz w:val="21"/>
                      <w:szCs w:val="21"/>
                      <w:lang w:val="en-US" w:eastAsia="zh-CN"/>
                    </w:rPr>
                    <w:t>打包带</w:t>
                  </w:r>
                  <w:r>
                    <w:rPr>
                      <w:rFonts w:ascii="宋体" w:hAnsi="宋体" w:eastAsia="宋体" w:cs="宋体"/>
                      <w:color w:val="auto"/>
                      <w:spacing w:val="0"/>
                      <w:position w:val="0"/>
                      <w:sz w:val="21"/>
                      <w:szCs w:val="21"/>
                    </w:rPr>
                    <w:t>挤塑机</w:t>
                  </w:r>
                </w:p>
              </w:tc>
              <w:tc>
                <w:tcPr>
                  <w:tcW w:w="848" w:type="pct"/>
                  <w:tcBorders>
                    <w:tl2br w:val="nil"/>
                    <w:tr2bl w:val="nil"/>
                  </w:tcBorders>
                  <w:vAlign w:val="center"/>
                </w:tcPr>
                <w:p w14:paraId="7359EA6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w:t>
                  </w:r>
                </w:p>
              </w:tc>
              <w:tc>
                <w:tcPr>
                  <w:tcW w:w="584" w:type="pct"/>
                  <w:tcBorders>
                    <w:tl2br w:val="nil"/>
                    <w:tr2bl w:val="nil"/>
                  </w:tcBorders>
                  <w:vAlign w:val="center"/>
                </w:tcPr>
                <w:p w14:paraId="76F4F29E">
                  <w:pPr>
                    <w:autoSpaceDE w:val="0"/>
                    <w:autoSpaceDN w:val="0"/>
                    <w:snapToGrid w:val="0"/>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台</w:t>
                  </w:r>
                </w:p>
              </w:tc>
              <w:tc>
                <w:tcPr>
                  <w:tcW w:w="488" w:type="pct"/>
                  <w:tcBorders>
                    <w:tl2br w:val="nil"/>
                    <w:tr2bl w:val="nil"/>
                  </w:tcBorders>
                  <w:vAlign w:val="center"/>
                </w:tcPr>
                <w:p w14:paraId="371E7D75">
                  <w:pPr>
                    <w:autoSpaceDE w:val="0"/>
                    <w:autoSpaceDN w:val="0"/>
                    <w:snapToGrid w:val="0"/>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4</w:t>
                  </w:r>
                </w:p>
              </w:tc>
              <w:tc>
                <w:tcPr>
                  <w:tcW w:w="622" w:type="pct"/>
                  <w:tcBorders>
                    <w:tl2br w:val="nil"/>
                    <w:tr2bl w:val="nil"/>
                  </w:tcBorders>
                  <w:vAlign w:val="center"/>
                </w:tcPr>
                <w:p w14:paraId="3B603876">
                  <w:pPr>
                    <w:autoSpaceDE w:val="0"/>
                    <w:autoSpaceDN w:val="0"/>
                    <w:snapToGrid w:val="0"/>
                    <w:spacing w:line="240" w:lineRule="auto"/>
                    <w:ind w:firstLine="0" w:firstLineChars="0"/>
                    <w:jc w:val="center"/>
                    <w:rPr>
                      <w:color w:val="auto"/>
                      <w:spacing w:val="0"/>
                      <w:kern w:val="0"/>
                      <w:position w:val="0"/>
                      <w:sz w:val="21"/>
                      <w:szCs w:val="21"/>
                    </w:rPr>
                  </w:pPr>
                </w:p>
              </w:tc>
            </w:tr>
            <w:tr w14:paraId="40B20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28" w:hRule="atLeast"/>
                <w:jc w:val="center"/>
              </w:trPr>
              <w:tc>
                <w:tcPr>
                  <w:tcW w:w="505" w:type="pct"/>
                  <w:tcBorders>
                    <w:tl2br w:val="nil"/>
                    <w:tr2bl w:val="nil"/>
                  </w:tcBorders>
                  <w:vAlign w:val="center"/>
                </w:tcPr>
                <w:p w14:paraId="28EC48F6">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5</w:t>
                  </w:r>
                </w:p>
              </w:tc>
              <w:tc>
                <w:tcPr>
                  <w:tcW w:w="1951" w:type="pct"/>
                  <w:tcBorders>
                    <w:tl2br w:val="nil"/>
                    <w:tr2bl w:val="nil"/>
                  </w:tcBorders>
                  <w:vAlign w:val="center"/>
                </w:tcPr>
                <w:p w14:paraId="4A6BA3C0">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管件模具</w:t>
                  </w:r>
                </w:p>
              </w:tc>
              <w:tc>
                <w:tcPr>
                  <w:tcW w:w="848" w:type="pct"/>
                  <w:tcBorders>
                    <w:tl2br w:val="nil"/>
                    <w:tr2bl w:val="nil"/>
                  </w:tcBorders>
                  <w:vAlign w:val="center"/>
                </w:tcPr>
                <w:p w14:paraId="2707BE1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olor w:val="auto"/>
                      <w:spacing w:val="0"/>
                      <w:kern w:val="0"/>
                      <w:position w:val="0"/>
                      <w:sz w:val="21"/>
                      <w:szCs w:val="21"/>
                    </w:rPr>
                  </w:pPr>
                  <w:r>
                    <w:rPr>
                      <w:rFonts w:hint="eastAsia"/>
                      <w:color w:val="auto"/>
                      <w:spacing w:val="0"/>
                      <w:kern w:val="0"/>
                      <w:position w:val="0"/>
                      <w:sz w:val="21"/>
                      <w:szCs w:val="21"/>
                      <w:lang w:val="en-US" w:eastAsia="zh-CN"/>
                    </w:rPr>
                    <w:t>/</w:t>
                  </w:r>
                </w:p>
              </w:tc>
              <w:tc>
                <w:tcPr>
                  <w:tcW w:w="584" w:type="pct"/>
                  <w:tcBorders>
                    <w:tl2br w:val="nil"/>
                    <w:tr2bl w:val="nil"/>
                  </w:tcBorders>
                  <w:vAlign w:val="center"/>
                </w:tcPr>
                <w:p w14:paraId="712FBAB0">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副</w:t>
                  </w:r>
                </w:p>
              </w:tc>
              <w:tc>
                <w:tcPr>
                  <w:tcW w:w="488" w:type="pct"/>
                  <w:tcBorders>
                    <w:tl2br w:val="nil"/>
                    <w:tr2bl w:val="nil"/>
                  </w:tcBorders>
                  <w:vAlign w:val="center"/>
                </w:tcPr>
                <w:p w14:paraId="6ABEB89D">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10</w:t>
                  </w:r>
                </w:p>
              </w:tc>
              <w:tc>
                <w:tcPr>
                  <w:tcW w:w="622" w:type="pct"/>
                  <w:tcBorders>
                    <w:tl2br w:val="nil"/>
                    <w:tr2bl w:val="nil"/>
                  </w:tcBorders>
                  <w:vAlign w:val="center"/>
                </w:tcPr>
                <w:p w14:paraId="45560EC6">
                  <w:pPr>
                    <w:autoSpaceDE w:val="0"/>
                    <w:autoSpaceDN w:val="0"/>
                    <w:snapToGrid w:val="0"/>
                    <w:spacing w:line="240" w:lineRule="auto"/>
                    <w:ind w:firstLine="0" w:firstLineChars="0"/>
                    <w:jc w:val="center"/>
                    <w:rPr>
                      <w:rFonts w:hint="eastAsia"/>
                      <w:color w:val="auto"/>
                      <w:spacing w:val="0"/>
                      <w:kern w:val="0"/>
                      <w:position w:val="0"/>
                      <w:sz w:val="21"/>
                      <w:szCs w:val="21"/>
                    </w:rPr>
                  </w:pPr>
                </w:p>
              </w:tc>
            </w:tr>
            <w:tr w14:paraId="00540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42" w:hRule="atLeast"/>
                <w:jc w:val="center"/>
              </w:trPr>
              <w:tc>
                <w:tcPr>
                  <w:tcW w:w="505" w:type="pct"/>
                  <w:tcBorders>
                    <w:tl2br w:val="nil"/>
                    <w:tr2bl w:val="nil"/>
                  </w:tcBorders>
                  <w:vAlign w:val="center"/>
                </w:tcPr>
                <w:p w14:paraId="129E3A42">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6</w:t>
                  </w:r>
                </w:p>
              </w:tc>
              <w:tc>
                <w:tcPr>
                  <w:tcW w:w="1951" w:type="pct"/>
                  <w:tcBorders>
                    <w:tl2br w:val="nil"/>
                    <w:tr2bl w:val="nil"/>
                  </w:tcBorders>
                  <w:vAlign w:val="center"/>
                </w:tcPr>
                <w:p w14:paraId="191C12AB">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冷却水灌</w:t>
                  </w:r>
                </w:p>
              </w:tc>
              <w:tc>
                <w:tcPr>
                  <w:tcW w:w="848" w:type="pct"/>
                  <w:tcBorders>
                    <w:tl2br w:val="nil"/>
                    <w:tr2bl w:val="nil"/>
                  </w:tcBorders>
                  <w:vAlign w:val="center"/>
                </w:tcPr>
                <w:p w14:paraId="4F3C3AC0">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60m</w:t>
                  </w:r>
                  <w:r>
                    <w:rPr>
                      <w:rFonts w:hint="eastAsia"/>
                      <w:color w:val="auto"/>
                      <w:spacing w:val="0"/>
                      <w:kern w:val="0"/>
                      <w:position w:val="0"/>
                      <w:sz w:val="21"/>
                      <w:szCs w:val="21"/>
                      <w:vertAlign w:val="superscript"/>
                      <w:lang w:val="en-US" w:eastAsia="zh-CN"/>
                    </w:rPr>
                    <w:t>3</w:t>
                  </w:r>
                </w:p>
              </w:tc>
              <w:tc>
                <w:tcPr>
                  <w:tcW w:w="584" w:type="pct"/>
                  <w:tcBorders>
                    <w:tl2br w:val="nil"/>
                    <w:tr2bl w:val="nil"/>
                  </w:tcBorders>
                  <w:vAlign w:val="center"/>
                </w:tcPr>
                <w:p w14:paraId="3362DC86">
                  <w:pPr>
                    <w:autoSpaceDE w:val="0"/>
                    <w:autoSpaceDN w:val="0"/>
                    <w:snapToGrid w:val="0"/>
                    <w:spacing w:line="240" w:lineRule="auto"/>
                    <w:ind w:firstLine="0" w:firstLineChars="0"/>
                    <w:jc w:val="center"/>
                    <w:rPr>
                      <w:rFonts w:hint="eastAsia"/>
                      <w:color w:val="auto"/>
                      <w:spacing w:val="0"/>
                      <w:kern w:val="0"/>
                      <w:position w:val="0"/>
                      <w:sz w:val="21"/>
                      <w:szCs w:val="21"/>
                    </w:rPr>
                  </w:pPr>
                  <w:r>
                    <w:rPr>
                      <w:rFonts w:hint="eastAsia"/>
                      <w:color w:val="auto"/>
                      <w:spacing w:val="0"/>
                      <w:kern w:val="0"/>
                      <w:position w:val="0"/>
                      <w:sz w:val="21"/>
                      <w:szCs w:val="21"/>
                      <w:lang w:val="en-US" w:eastAsia="zh-CN"/>
                    </w:rPr>
                    <w:t>台</w:t>
                  </w:r>
                </w:p>
              </w:tc>
              <w:tc>
                <w:tcPr>
                  <w:tcW w:w="488" w:type="pct"/>
                  <w:tcBorders>
                    <w:tl2br w:val="nil"/>
                    <w:tr2bl w:val="nil"/>
                  </w:tcBorders>
                  <w:vAlign w:val="center"/>
                </w:tcPr>
                <w:p w14:paraId="58A9D933">
                  <w:pPr>
                    <w:autoSpaceDE w:val="0"/>
                    <w:autoSpaceDN w:val="0"/>
                    <w:snapToGrid w:val="0"/>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1</w:t>
                  </w:r>
                </w:p>
              </w:tc>
              <w:tc>
                <w:tcPr>
                  <w:tcW w:w="622" w:type="pct"/>
                  <w:tcBorders>
                    <w:tl2br w:val="nil"/>
                    <w:tr2bl w:val="nil"/>
                  </w:tcBorders>
                  <w:vAlign w:val="center"/>
                </w:tcPr>
                <w:p w14:paraId="65CD6790">
                  <w:pPr>
                    <w:autoSpaceDE w:val="0"/>
                    <w:autoSpaceDN w:val="0"/>
                    <w:snapToGrid w:val="0"/>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带潜水泵</w:t>
                  </w:r>
                </w:p>
              </w:tc>
            </w:tr>
          </w:tbl>
          <w:p w14:paraId="6FA041B1">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rFonts w:hint="eastAsia"/>
                <w:b/>
                <w:color w:val="auto"/>
                <w:spacing w:val="0"/>
                <w:position w:val="0"/>
                <w:sz w:val="21"/>
                <w:szCs w:val="21"/>
                <w:lang w:val="en-US" w:eastAsia="zh-CN"/>
              </w:rPr>
            </w:pPr>
            <w:r>
              <w:rPr>
                <w:rFonts w:hint="eastAsia"/>
                <w:b/>
                <w:color w:val="auto"/>
                <w:spacing w:val="0"/>
                <w:position w:val="0"/>
                <w:sz w:val="21"/>
                <w:szCs w:val="21"/>
                <w:lang w:val="en-US" w:eastAsia="zh-CN"/>
              </w:rPr>
              <w:t>3</w:t>
            </w:r>
            <w:r>
              <w:rPr>
                <w:b/>
                <w:color w:val="auto"/>
                <w:spacing w:val="0"/>
                <w:position w:val="0"/>
                <w:sz w:val="21"/>
                <w:szCs w:val="21"/>
              </w:rPr>
              <w:t>主要原辅材料</w:t>
            </w:r>
            <w:r>
              <w:rPr>
                <w:rFonts w:hint="eastAsia"/>
                <w:b/>
                <w:color w:val="auto"/>
                <w:spacing w:val="0"/>
                <w:position w:val="0"/>
                <w:sz w:val="21"/>
                <w:szCs w:val="21"/>
                <w:lang w:val="en-US" w:eastAsia="zh-CN"/>
              </w:rPr>
              <w:t>及能源</w:t>
            </w:r>
          </w:p>
          <w:p w14:paraId="15476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b w:val="0"/>
                <w:bCs/>
                <w:color w:val="auto"/>
                <w:spacing w:val="0"/>
                <w:position w:val="0"/>
                <w:sz w:val="21"/>
                <w:szCs w:val="21"/>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（1）</w:t>
            </w:r>
            <w:r>
              <w:rPr>
                <w:rFonts w:hint="eastAsia"/>
                <w:b w:val="0"/>
                <w:bCs/>
                <w:color w:val="auto"/>
                <w:spacing w:val="0"/>
                <w:position w:val="0"/>
                <w:sz w:val="21"/>
                <w:szCs w:val="21"/>
                <w:lang w:val="en-US" w:eastAsia="zh-CN"/>
              </w:rPr>
              <w:t>原辅材料</w:t>
            </w:r>
          </w:p>
          <w:p w14:paraId="61E7F3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宋体"/>
                <w:b w:val="0"/>
                <w:bCs/>
                <w:color w:val="auto"/>
                <w:spacing w:val="0"/>
                <w:position w:val="0"/>
                <w:sz w:val="21"/>
                <w:szCs w:val="21"/>
                <w:lang w:val="en-US" w:eastAsia="zh-CN"/>
              </w:rPr>
            </w:pPr>
            <w:r>
              <w:rPr>
                <w:rFonts w:hint="eastAsia"/>
                <w:color w:val="auto"/>
                <w:spacing w:val="0"/>
                <w:position w:val="0"/>
                <w:sz w:val="21"/>
                <w:szCs w:val="21"/>
                <w:lang w:val="en-US" w:eastAsia="zh-CN"/>
              </w:rPr>
              <w:t>本项目所有使用原料均为新料，不使用旧料扫地料，</w:t>
            </w:r>
            <w:r>
              <w:rPr>
                <w:color w:val="auto"/>
                <w:spacing w:val="0"/>
                <w:position w:val="0"/>
                <w:sz w:val="21"/>
                <w:szCs w:val="21"/>
              </w:rPr>
              <w:t>根据本项目生产工艺要求，其主要</w:t>
            </w:r>
            <w:r>
              <w:rPr>
                <w:rFonts w:hint="eastAsia"/>
                <w:color w:val="auto"/>
                <w:spacing w:val="0"/>
                <w:position w:val="0"/>
                <w:sz w:val="21"/>
                <w:szCs w:val="21"/>
                <w:lang w:val="en-US" w:eastAsia="zh-CN"/>
              </w:rPr>
              <w:t>原辅用料如下</w:t>
            </w:r>
          </w:p>
          <w:p w14:paraId="592439BF">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表</w:t>
            </w:r>
            <w:r>
              <w:rPr>
                <w:rFonts w:hint="eastAsia" w:ascii="Times New Roman" w:hAnsi="Times New Roman" w:eastAsia="宋体" w:cs="Times New Roman"/>
                <w:b/>
                <w:bCs/>
                <w:color w:val="auto"/>
                <w:spacing w:val="0"/>
                <w:position w:val="0"/>
                <w:sz w:val="21"/>
                <w:szCs w:val="21"/>
                <w:lang w:val="en-US" w:eastAsia="zh-CN"/>
              </w:rPr>
              <w:t xml:space="preserve">2-3   </w:t>
            </w:r>
            <w:r>
              <w:rPr>
                <w:rFonts w:hint="default" w:ascii="Times New Roman" w:hAnsi="Times New Roman" w:eastAsia="宋体" w:cs="Times New Roman"/>
                <w:b/>
                <w:bCs/>
                <w:color w:val="auto"/>
                <w:spacing w:val="0"/>
                <w:position w:val="0"/>
                <w:sz w:val="21"/>
                <w:szCs w:val="21"/>
                <w:lang w:val="en-US" w:eastAsia="zh-CN"/>
              </w:rPr>
              <w:t xml:space="preserve"> </w:t>
            </w:r>
            <w:r>
              <w:rPr>
                <w:rFonts w:hint="eastAsia" w:ascii="Times New Roman" w:hAnsi="Times New Roman" w:eastAsia="宋体" w:cs="Times New Roman"/>
                <w:b/>
                <w:bCs/>
                <w:color w:val="auto"/>
                <w:spacing w:val="0"/>
                <w:position w:val="0"/>
                <w:sz w:val="21"/>
                <w:szCs w:val="21"/>
                <w:lang w:val="en-US" w:eastAsia="zh-CN"/>
              </w:rPr>
              <w:t>项目主要原辅料用量</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83"/>
              <w:gridCol w:w="1616"/>
              <w:gridCol w:w="2386"/>
              <w:gridCol w:w="1912"/>
              <w:gridCol w:w="1456"/>
            </w:tblGrid>
            <w:tr w14:paraId="70D4D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1" w:hRule="atLeast"/>
                <w:jc w:val="center"/>
              </w:trPr>
              <w:tc>
                <w:tcPr>
                  <w:tcW w:w="588" w:type="pct"/>
                  <w:tcBorders>
                    <w:tl2br w:val="nil"/>
                    <w:tr2bl w:val="nil"/>
                  </w:tcBorders>
                  <w:shd w:val="clear" w:color="auto" w:fill="auto"/>
                  <w:vAlign w:val="center"/>
                </w:tcPr>
                <w:p w14:paraId="3599DF06">
                  <w:pPr>
                    <w:spacing w:line="240" w:lineRule="auto"/>
                    <w:ind w:firstLine="0" w:firstLineChars="0"/>
                    <w:jc w:val="center"/>
                    <w:rPr>
                      <w:color w:val="auto"/>
                      <w:spacing w:val="0"/>
                      <w:position w:val="0"/>
                      <w:sz w:val="21"/>
                      <w:szCs w:val="21"/>
                    </w:rPr>
                  </w:pPr>
                  <w:r>
                    <w:rPr>
                      <w:color w:val="auto"/>
                      <w:spacing w:val="0"/>
                      <w:position w:val="0"/>
                      <w:sz w:val="21"/>
                      <w:szCs w:val="21"/>
                    </w:rPr>
                    <w:t>序号</w:t>
                  </w:r>
                </w:p>
              </w:tc>
              <w:tc>
                <w:tcPr>
                  <w:tcW w:w="967" w:type="pct"/>
                  <w:tcBorders>
                    <w:tl2br w:val="nil"/>
                    <w:tr2bl w:val="nil"/>
                  </w:tcBorders>
                  <w:shd w:val="clear" w:color="auto" w:fill="auto"/>
                  <w:vAlign w:val="center"/>
                </w:tcPr>
                <w:p w14:paraId="7ED05B78">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材料</w:t>
                  </w:r>
                  <w:r>
                    <w:rPr>
                      <w:color w:val="auto"/>
                      <w:spacing w:val="0"/>
                      <w:position w:val="0"/>
                      <w:sz w:val="21"/>
                      <w:szCs w:val="21"/>
                    </w:rPr>
                    <w:t>名称</w:t>
                  </w:r>
                </w:p>
              </w:tc>
              <w:tc>
                <w:tcPr>
                  <w:tcW w:w="1428" w:type="pct"/>
                  <w:tcBorders>
                    <w:tl2br w:val="nil"/>
                    <w:tr2bl w:val="nil"/>
                  </w:tcBorders>
                  <w:shd w:val="clear" w:color="auto" w:fill="auto"/>
                  <w:vAlign w:val="center"/>
                </w:tcPr>
                <w:p w14:paraId="6FAF0F23">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年用量</w:t>
                  </w:r>
                </w:p>
              </w:tc>
              <w:tc>
                <w:tcPr>
                  <w:tcW w:w="1144" w:type="pct"/>
                  <w:tcBorders>
                    <w:tl2br w:val="nil"/>
                    <w:tr2bl w:val="nil"/>
                  </w:tcBorders>
                  <w:shd w:val="clear" w:color="auto" w:fill="auto"/>
                  <w:vAlign w:val="center"/>
                </w:tcPr>
                <w:p w14:paraId="18EF8F33">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包装贮存方式</w:t>
                  </w:r>
                </w:p>
              </w:tc>
              <w:tc>
                <w:tcPr>
                  <w:tcW w:w="871" w:type="pct"/>
                  <w:tcBorders>
                    <w:tl2br w:val="nil"/>
                    <w:tr2bl w:val="nil"/>
                  </w:tcBorders>
                  <w:shd w:val="clear" w:color="auto" w:fill="auto"/>
                  <w:vAlign w:val="center"/>
                </w:tcPr>
                <w:p w14:paraId="50784E8A">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运输方式</w:t>
                  </w:r>
                </w:p>
              </w:tc>
            </w:tr>
            <w:tr w14:paraId="5FF36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88" w:type="pct"/>
                  <w:tcBorders>
                    <w:tl2br w:val="nil"/>
                    <w:tr2bl w:val="nil"/>
                  </w:tcBorders>
                  <w:shd w:val="clear" w:color="auto" w:fill="auto"/>
                  <w:vAlign w:val="center"/>
                </w:tcPr>
                <w:p w14:paraId="2CFA7894">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1</w:t>
                  </w:r>
                </w:p>
              </w:tc>
              <w:tc>
                <w:tcPr>
                  <w:tcW w:w="967" w:type="pct"/>
                  <w:tcBorders>
                    <w:tl2br w:val="nil"/>
                    <w:tr2bl w:val="nil"/>
                  </w:tcBorders>
                  <w:shd w:val="clear" w:color="auto" w:fill="auto"/>
                  <w:vAlign w:val="center"/>
                </w:tcPr>
                <w:p w14:paraId="24A269D6">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PP新料</w:t>
                  </w:r>
                </w:p>
              </w:tc>
              <w:tc>
                <w:tcPr>
                  <w:tcW w:w="2313" w:type="dxa"/>
                  <w:tcBorders>
                    <w:tl2br w:val="nil"/>
                    <w:tr2bl w:val="nil"/>
                  </w:tcBorders>
                  <w:shd w:val="clear" w:color="auto" w:fill="auto"/>
                  <w:vAlign w:val="center"/>
                </w:tcPr>
                <w:p w14:paraId="389414C1">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1946</w:t>
                  </w:r>
                  <w:r>
                    <w:rPr>
                      <w:rFonts w:hint="eastAsia"/>
                      <w:color w:val="auto"/>
                      <w:spacing w:val="0"/>
                      <w:position w:val="0"/>
                      <w:sz w:val="21"/>
                      <w:szCs w:val="21"/>
                    </w:rPr>
                    <w:t>t</w:t>
                  </w:r>
                  <w:r>
                    <w:rPr>
                      <w:rFonts w:hint="eastAsia"/>
                      <w:color w:val="auto"/>
                      <w:spacing w:val="0"/>
                      <w:position w:val="0"/>
                      <w:sz w:val="21"/>
                      <w:szCs w:val="21"/>
                      <w:lang w:val="en-US" w:eastAsia="zh-CN"/>
                    </w:rPr>
                    <w:t>/a</w:t>
                  </w:r>
                </w:p>
              </w:tc>
              <w:tc>
                <w:tcPr>
                  <w:tcW w:w="1144" w:type="pct"/>
                  <w:vMerge w:val="restart"/>
                  <w:tcBorders>
                    <w:tl2br w:val="nil"/>
                    <w:tr2bl w:val="nil"/>
                  </w:tcBorders>
                  <w:shd w:val="clear" w:color="auto" w:fill="auto"/>
                  <w:vAlign w:val="center"/>
                </w:tcPr>
                <w:p w14:paraId="39EB749A">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成袋包装储存于车间内原料堆场，原料堆放区最大储存量为70t</w:t>
                  </w:r>
                </w:p>
              </w:tc>
              <w:tc>
                <w:tcPr>
                  <w:tcW w:w="871" w:type="pct"/>
                  <w:tcBorders>
                    <w:tl2br w:val="nil"/>
                    <w:tr2bl w:val="nil"/>
                  </w:tcBorders>
                  <w:shd w:val="clear" w:color="auto" w:fill="auto"/>
                  <w:vAlign w:val="center"/>
                </w:tcPr>
                <w:p w14:paraId="6783E7C8">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汽运</w:t>
                  </w:r>
                </w:p>
              </w:tc>
            </w:tr>
            <w:tr w14:paraId="2B704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588" w:type="pct"/>
                  <w:tcBorders>
                    <w:tl2br w:val="nil"/>
                    <w:tr2bl w:val="nil"/>
                  </w:tcBorders>
                  <w:shd w:val="clear" w:color="auto" w:fill="auto"/>
                  <w:vAlign w:val="center"/>
                </w:tcPr>
                <w:p w14:paraId="1DE856F3">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2</w:t>
                  </w:r>
                </w:p>
              </w:tc>
              <w:tc>
                <w:tcPr>
                  <w:tcW w:w="967" w:type="pct"/>
                  <w:tcBorders>
                    <w:tl2br w:val="nil"/>
                    <w:tr2bl w:val="nil"/>
                  </w:tcBorders>
                  <w:shd w:val="clear" w:color="auto" w:fill="auto"/>
                  <w:vAlign w:val="center"/>
                </w:tcPr>
                <w:p w14:paraId="14B5420C">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PVC颗粒</w:t>
                  </w:r>
                </w:p>
              </w:tc>
              <w:tc>
                <w:tcPr>
                  <w:tcW w:w="2313" w:type="dxa"/>
                  <w:tcBorders>
                    <w:tl2br w:val="nil"/>
                    <w:tr2bl w:val="nil"/>
                  </w:tcBorders>
                  <w:shd w:val="clear" w:color="auto" w:fill="auto"/>
                  <w:vAlign w:val="center"/>
                </w:tcPr>
                <w:p w14:paraId="43662F52">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972.23</w:t>
                  </w:r>
                  <w:r>
                    <w:rPr>
                      <w:rFonts w:hint="eastAsia"/>
                      <w:color w:val="auto"/>
                      <w:spacing w:val="0"/>
                      <w:position w:val="0"/>
                      <w:sz w:val="21"/>
                      <w:szCs w:val="21"/>
                    </w:rPr>
                    <w:t>t</w:t>
                  </w:r>
                  <w:r>
                    <w:rPr>
                      <w:rFonts w:hint="eastAsia"/>
                      <w:color w:val="auto"/>
                      <w:spacing w:val="0"/>
                      <w:position w:val="0"/>
                      <w:sz w:val="21"/>
                      <w:szCs w:val="21"/>
                      <w:lang w:val="en-US" w:eastAsia="zh-CN"/>
                    </w:rPr>
                    <w:t>/a</w:t>
                  </w:r>
                </w:p>
              </w:tc>
              <w:tc>
                <w:tcPr>
                  <w:tcW w:w="1144" w:type="pct"/>
                  <w:vMerge w:val="continue"/>
                  <w:tcBorders>
                    <w:tl2br w:val="nil"/>
                    <w:tr2bl w:val="nil"/>
                  </w:tcBorders>
                  <w:shd w:val="clear" w:color="auto" w:fill="auto"/>
                  <w:vAlign w:val="center"/>
                </w:tcPr>
                <w:p w14:paraId="094E0E87">
                  <w:pPr>
                    <w:spacing w:line="240" w:lineRule="auto"/>
                    <w:ind w:firstLine="0" w:firstLineChars="0"/>
                    <w:jc w:val="center"/>
                    <w:rPr>
                      <w:color w:val="auto"/>
                      <w:spacing w:val="0"/>
                      <w:position w:val="0"/>
                      <w:sz w:val="21"/>
                      <w:szCs w:val="21"/>
                    </w:rPr>
                  </w:pPr>
                </w:p>
              </w:tc>
              <w:tc>
                <w:tcPr>
                  <w:tcW w:w="871" w:type="pct"/>
                  <w:tcBorders>
                    <w:tl2br w:val="nil"/>
                    <w:tr2bl w:val="nil"/>
                  </w:tcBorders>
                  <w:shd w:val="clear" w:color="auto" w:fill="auto"/>
                  <w:vAlign w:val="center"/>
                </w:tcPr>
                <w:p w14:paraId="3B716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汽运</w:t>
                  </w:r>
                </w:p>
              </w:tc>
            </w:tr>
            <w:tr w14:paraId="0461A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588" w:type="pct"/>
                  <w:tcBorders>
                    <w:tl2br w:val="nil"/>
                    <w:tr2bl w:val="nil"/>
                  </w:tcBorders>
                  <w:shd w:val="clear" w:color="auto" w:fill="auto"/>
                  <w:vAlign w:val="center"/>
                </w:tcPr>
                <w:p w14:paraId="4845D02C">
                  <w:pPr>
                    <w:spacing w:line="240" w:lineRule="auto"/>
                    <w:ind w:firstLine="0" w:firstLineChars="0"/>
                    <w:jc w:val="center"/>
                    <w:rPr>
                      <w:color w:val="auto"/>
                      <w:spacing w:val="0"/>
                      <w:position w:val="0"/>
                      <w:sz w:val="21"/>
                      <w:szCs w:val="21"/>
                    </w:rPr>
                  </w:pPr>
                  <w:r>
                    <w:rPr>
                      <w:rFonts w:hint="eastAsia"/>
                      <w:color w:val="auto"/>
                      <w:spacing w:val="0"/>
                      <w:position w:val="0"/>
                      <w:sz w:val="21"/>
                      <w:szCs w:val="21"/>
                    </w:rPr>
                    <w:t>3</w:t>
                  </w:r>
                </w:p>
              </w:tc>
              <w:tc>
                <w:tcPr>
                  <w:tcW w:w="967" w:type="pct"/>
                  <w:tcBorders>
                    <w:tl2br w:val="nil"/>
                    <w:tr2bl w:val="nil"/>
                  </w:tcBorders>
                  <w:shd w:val="clear" w:color="auto" w:fill="auto"/>
                  <w:vAlign w:val="center"/>
                </w:tcPr>
                <w:p w14:paraId="62911B25">
                  <w:pPr>
                    <w:spacing w:line="240" w:lineRule="auto"/>
                    <w:ind w:firstLine="0" w:firstLineChars="0"/>
                    <w:jc w:val="center"/>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PE新料</w:t>
                  </w:r>
                </w:p>
              </w:tc>
              <w:tc>
                <w:tcPr>
                  <w:tcW w:w="2313" w:type="dxa"/>
                  <w:tcBorders>
                    <w:tl2br w:val="nil"/>
                    <w:tr2bl w:val="nil"/>
                  </w:tcBorders>
                  <w:shd w:val="clear" w:color="auto" w:fill="auto"/>
                  <w:vAlign w:val="center"/>
                </w:tcPr>
                <w:p w14:paraId="708A343C">
                  <w:pPr>
                    <w:spacing w:line="240" w:lineRule="auto"/>
                    <w:ind w:firstLine="0" w:firstLineChars="0"/>
                    <w:jc w:val="center"/>
                    <w:rPr>
                      <w:color w:val="auto"/>
                      <w:spacing w:val="0"/>
                      <w:position w:val="0"/>
                      <w:sz w:val="21"/>
                      <w:szCs w:val="21"/>
                    </w:rPr>
                  </w:pPr>
                  <w:r>
                    <w:rPr>
                      <w:rFonts w:hint="eastAsia"/>
                      <w:color w:val="auto"/>
                      <w:spacing w:val="0"/>
                      <w:position w:val="0"/>
                      <w:sz w:val="21"/>
                      <w:szCs w:val="21"/>
                      <w:lang w:val="en-US" w:eastAsia="zh-CN"/>
                    </w:rPr>
                    <w:t>1946</w:t>
                  </w:r>
                  <w:r>
                    <w:rPr>
                      <w:rFonts w:hint="eastAsia"/>
                      <w:color w:val="auto"/>
                      <w:spacing w:val="0"/>
                      <w:position w:val="0"/>
                      <w:sz w:val="21"/>
                      <w:szCs w:val="21"/>
                    </w:rPr>
                    <w:t>t</w:t>
                  </w:r>
                  <w:r>
                    <w:rPr>
                      <w:rFonts w:hint="eastAsia"/>
                      <w:color w:val="auto"/>
                      <w:spacing w:val="0"/>
                      <w:position w:val="0"/>
                      <w:sz w:val="21"/>
                      <w:szCs w:val="21"/>
                      <w:lang w:val="en-US" w:eastAsia="zh-CN"/>
                    </w:rPr>
                    <w:t>/a</w:t>
                  </w:r>
                </w:p>
              </w:tc>
              <w:tc>
                <w:tcPr>
                  <w:tcW w:w="1144" w:type="pct"/>
                  <w:vMerge w:val="continue"/>
                  <w:tcBorders>
                    <w:tl2br w:val="nil"/>
                    <w:tr2bl w:val="nil"/>
                  </w:tcBorders>
                  <w:shd w:val="clear" w:color="auto" w:fill="auto"/>
                  <w:vAlign w:val="center"/>
                </w:tcPr>
                <w:p w14:paraId="75E03446">
                  <w:pPr>
                    <w:spacing w:line="240" w:lineRule="auto"/>
                    <w:ind w:firstLine="0" w:firstLineChars="0"/>
                    <w:jc w:val="center"/>
                    <w:rPr>
                      <w:color w:val="auto"/>
                      <w:spacing w:val="0"/>
                      <w:position w:val="0"/>
                      <w:sz w:val="21"/>
                      <w:szCs w:val="21"/>
                    </w:rPr>
                  </w:pPr>
                </w:p>
              </w:tc>
              <w:tc>
                <w:tcPr>
                  <w:tcW w:w="871" w:type="pct"/>
                  <w:tcBorders>
                    <w:tl2br w:val="nil"/>
                    <w:tr2bl w:val="nil"/>
                  </w:tcBorders>
                  <w:shd w:val="clear" w:color="auto" w:fill="auto"/>
                  <w:vAlign w:val="center"/>
                </w:tcPr>
                <w:p w14:paraId="47934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pacing w:val="0"/>
                      <w:position w:val="0"/>
                      <w:sz w:val="21"/>
                      <w:szCs w:val="21"/>
                    </w:rPr>
                  </w:pPr>
                  <w:r>
                    <w:rPr>
                      <w:rFonts w:hint="eastAsia"/>
                      <w:color w:val="auto"/>
                      <w:spacing w:val="0"/>
                      <w:position w:val="0"/>
                      <w:sz w:val="21"/>
                      <w:szCs w:val="21"/>
                    </w:rPr>
                    <w:t>汽运</w:t>
                  </w:r>
                </w:p>
              </w:tc>
            </w:tr>
            <w:tr w14:paraId="5D114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588" w:type="pct"/>
                  <w:tcBorders>
                    <w:tl2br w:val="nil"/>
                    <w:tr2bl w:val="nil"/>
                  </w:tcBorders>
                  <w:shd w:val="clear" w:color="auto" w:fill="auto"/>
                  <w:vAlign w:val="center"/>
                </w:tcPr>
                <w:p w14:paraId="5854C43F">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4</w:t>
                  </w:r>
                </w:p>
              </w:tc>
              <w:tc>
                <w:tcPr>
                  <w:tcW w:w="967" w:type="pct"/>
                  <w:tcBorders>
                    <w:tl2br w:val="nil"/>
                    <w:tr2bl w:val="nil"/>
                  </w:tcBorders>
                  <w:shd w:val="clear" w:color="auto" w:fill="auto"/>
                  <w:vAlign w:val="center"/>
                </w:tcPr>
                <w:p w14:paraId="768587F9">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色母粒</w:t>
                  </w:r>
                </w:p>
              </w:tc>
              <w:tc>
                <w:tcPr>
                  <w:tcW w:w="2313" w:type="dxa"/>
                  <w:tcBorders>
                    <w:tl2br w:val="nil"/>
                    <w:tr2bl w:val="nil"/>
                  </w:tcBorders>
                  <w:shd w:val="clear" w:color="auto" w:fill="auto"/>
                  <w:vAlign w:val="center"/>
                </w:tcPr>
                <w:p w14:paraId="1FE328BD">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40</w:t>
                  </w:r>
                  <w:r>
                    <w:rPr>
                      <w:rFonts w:hint="eastAsia"/>
                      <w:color w:val="auto"/>
                      <w:spacing w:val="0"/>
                      <w:position w:val="0"/>
                      <w:sz w:val="21"/>
                      <w:szCs w:val="21"/>
                    </w:rPr>
                    <w:t>t</w:t>
                  </w:r>
                  <w:r>
                    <w:rPr>
                      <w:rFonts w:hint="eastAsia"/>
                      <w:color w:val="auto"/>
                      <w:spacing w:val="0"/>
                      <w:position w:val="0"/>
                      <w:sz w:val="21"/>
                      <w:szCs w:val="21"/>
                      <w:lang w:val="en-US" w:eastAsia="zh-CN"/>
                    </w:rPr>
                    <w:t>/a</w:t>
                  </w:r>
                </w:p>
              </w:tc>
              <w:tc>
                <w:tcPr>
                  <w:tcW w:w="1144" w:type="pct"/>
                  <w:vMerge w:val="continue"/>
                  <w:tcBorders>
                    <w:tl2br w:val="nil"/>
                    <w:tr2bl w:val="nil"/>
                  </w:tcBorders>
                  <w:shd w:val="clear" w:color="auto" w:fill="auto"/>
                  <w:vAlign w:val="center"/>
                </w:tcPr>
                <w:p w14:paraId="0FF4C576">
                  <w:pPr>
                    <w:spacing w:line="240" w:lineRule="auto"/>
                    <w:ind w:firstLine="0" w:firstLineChars="0"/>
                    <w:jc w:val="center"/>
                    <w:rPr>
                      <w:rFonts w:hint="eastAsia"/>
                      <w:color w:val="auto"/>
                      <w:spacing w:val="0"/>
                      <w:position w:val="0"/>
                      <w:sz w:val="21"/>
                      <w:szCs w:val="21"/>
                      <w:lang w:val="en-US" w:eastAsia="zh-CN"/>
                    </w:rPr>
                  </w:pPr>
                </w:p>
              </w:tc>
              <w:tc>
                <w:tcPr>
                  <w:tcW w:w="871" w:type="pct"/>
                  <w:tcBorders>
                    <w:tl2br w:val="nil"/>
                    <w:tr2bl w:val="nil"/>
                  </w:tcBorders>
                  <w:shd w:val="clear" w:color="auto" w:fill="auto"/>
                  <w:vAlign w:val="center"/>
                </w:tcPr>
                <w:p w14:paraId="0CD21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0"/>
                      <w:position w:val="0"/>
                      <w:sz w:val="21"/>
                      <w:szCs w:val="21"/>
                      <w:lang w:val="en-US" w:eastAsia="zh-CN"/>
                    </w:rPr>
                  </w:pPr>
                  <w:r>
                    <w:rPr>
                      <w:rFonts w:hint="eastAsia"/>
                      <w:color w:val="auto"/>
                      <w:spacing w:val="0"/>
                      <w:position w:val="0"/>
                      <w:sz w:val="21"/>
                      <w:szCs w:val="21"/>
                    </w:rPr>
                    <w:t>汽运</w:t>
                  </w:r>
                </w:p>
              </w:tc>
            </w:tr>
            <w:tr w14:paraId="2CEEDC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588" w:type="pct"/>
                  <w:tcBorders>
                    <w:tl2br w:val="nil"/>
                    <w:tr2bl w:val="nil"/>
                  </w:tcBorders>
                  <w:shd w:val="clear" w:color="auto" w:fill="auto"/>
                  <w:vAlign w:val="center"/>
                </w:tcPr>
                <w:p w14:paraId="65B7627C">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5</w:t>
                  </w:r>
                </w:p>
              </w:tc>
              <w:tc>
                <w:tcPr>
                  <w:tcW w:w="967" w:type="pct"/>
                  <w:tcBorders>
                    <w:tl2br w:val="nil"/>
                    <w:tr2bl w:val="nil"/>
                  </w:tcBorders>
                  <w:shd w:val="clear" w:color="auto" w:fill="auto"/>
                  <w:vAlign w:val="center"/>
                </w:tcPr>
                <w:p w14:paraId="41C41411">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抗氧化剂</w:t>
                  </w:r>
                </w:p>
              </w:tc>
              <w:tc>
                <w:tcPr>
                  <w:tcW w:w="2313" w:type="dxa"/>
                  <w:tcBorders>
                    <w:tl2br w:val="nil"/>
                    <w:tr2bl w:val="nil"/>
                  </w:tcBorders>
                  <w:shd w:val="clear" w:color="auto" w:fill="auto"/>
                  <w:vAlign w:val="center"/>
                </w:tcPr>
                <w:p w14:paraId="2F118299">
                  <w:pPr>
                    <w:spacing w:line="240" w:lineRule="auto"/>
                    <w:ind w:firstLine="0" w:firstLineChars="0"/>
                    <w:jc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100</w:t>
                  </w:r>
                  <w:r>
                    <w:rPr>
                      <w:rFonts w:hint="eastAsia"/>
                      <w:color w:val="auto"/>
                      <w:spacing w:val="0"/>
                      <w:position w:val="0"/>
                      <w:sz w:val="21"/>
                      <w:szCs w:val="21"/>
                    </w:rPr>
                    <w:t>t</w:t>
                  </w:r>
                  <w:r>
                    <w:rPr>
                      <w:rFonts w:hint="eastAsia"/>
                      <w:color w:val="auto"/>
                      <w:spacing w:val="0"/>
                      <w:position w:val="0"/>
                      <w:sz w:val="21"/>
                      <w:szCs w:val="21"/>
                      <w:lang w:val="en-US" w:eastAsia="zh-CN"/>
                    </w:rPr>
                    <w:t>/a</w:t>
                  </w:r>
                </w:p>
              </w:tc>
              <w:tc>
                <w:tcPr>
                  <w:tcW w:w="1144" w:type="pct"/>
                  <w:vMerge w:val="continue"/>
                  <w:tcBorders>
                    <w:tl2br w:val="nil"/>
                    <w:tr2bl w:val="nil"/>
                  </w:tcBorders>
                  <w:shd w:val="clear" w:color="auto" w:fill="auto"/>
                  <w:vAlign w:val="center"/>
                </w:tcPr>
                <w:p w14:paraId="72D656DF">
                  <w:pPr>
                    <w:spacing w:line="240" w:lineRule="auto"/>
                    <w:ind w:firstLine="0" w:firstLineChars="0"/>
                    <w:jc w:val="center"/>
                    <w:rPr>
                      <w:rFonts w:hint="eastAsia"/>
                      <w:color w:val="auto"/>
                      <w:spacing w:val="0"/>
                      <w:position w:val="0"/>
                      <w:sz w:val="21"/>
                      <w:szCs w:val="21"/>
                      <w:lang w:val="en-US" w:eastAsia="zh-CN"/>
                    </w:rPr>
                  </w:pPr>
                </w:p>
              </w:tc>
              <w:tc>
                <w:tcPr>
                  <w:tcW w:w="871" w:type="pct"/>
                  <w:tcBorders>
                    <w:tl2br w:val="nil"/>
                    <w:tr2bl w:val="nil"/>
                  </w:tcBorders>
                  <w:shd w:val="clear" w:color="auto" w:fill="auto"/>
                  <w:vAlign w:val="center"/>
                </w:tcPr>
                <w:p w14:paraId="5449A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0"/>
                      <w:position w:val="0"/>
                      <w:sz w:val="21"/>
                      <w:szCs w:val="21"/>
                      <w:lang w:val="en-US" w:eastAsia="zh-CN"/>
                    </w:rPr>
                  </w:pPr>
                  <w:r>
                    <w:rPr>
                      <w:rFonts w:hint="eastAsia"/>
                      <w:color w:val="auto"/>
                      <w:spacing w:val="0"/>
                      <w:position w:val="0"/>
                      <w:sz w:val="21"/>
                      <w:szCs w:val="21"/>
                    </w:rPr>
                    <w:t>汽运</w:t>
                  </w:r>
                </w:p>
              </w:tc>
            </w:tr>
          </w:tbl>
          <w:p w14:paraId="2CC40DAD">
            <w:pPr>
              <w:widowControl/>
              <w:ind w:firstLine="560"/>
              <w:rPr>
                <w:rFonts w:hint="default" w:ascii="宋体" w:hAnsi="宋体" w:eastAsia="宋体" w:cs="宋体"/>
                <w:color w:val="auto"/>
                <w:spacing w:val="0"/>
                <w:kern w:val="0"/>
                <w:position w:val="0"/>
                <w:sz w:val="21"/>
                <w:szCs w:val="21"/>
                <w:lang w:val="en-US" w:eastAsia="zh-CN" w:bidi="ar-SA"/>
              </w:rPr>
            </w:pPr>
            <w:r>
              <w:rPr>
                <w:rFonts w:hint="eastAsia" w:ascii="宋体" w:hAnsi="宋体" w:eastAsia="宋体" w:cs="宋体"/>
                <w:color w:val="auto"/>
                <w:spacing w:val="0"/>
                <w:kern w:val="0"/>
                <w:position w:val="0"/>
                <w:sz w:val="21"/>
                <w:szCs w:val="21"/>
                <w:lang w:val="en-US" w:eastAsia="zh-CN" w:bidi="ar-SA"/>
              </w:rPr>
              <w:t>本项目原辅料</w:t>
            </w:r>
            <w:r>
              <w:rPr>
                <w:rFonts w:hint="eastAsia" w:ascii="宋体" w:hAnsi="宋体" w:cs="宋体"/>
                <w:color w:val="auto"/>
                <w:spacing w:val="0"/>
                <w:kern w:val="0"/>
                <w:position w:val="0"/>
                <w:sz w:val="21"/>
                <w:szCs w:val="21"/>
                <w:lang w:val="en-US" w:eastAsia="zh-CN" w:bidi="ar-SA"/>
              </w:rPr>
              <w:t>理化性质如下表</w:t>
            </w:r>
          </w:p>
          <w:p w14:paraId="169F2E02">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表</w:t>
            </w:r>
            <w:r>
              <w:rPr>
                <w:rFonts w:hint="eastAsia" w:ascii="Times New Roman" w:hAnsi="Times New Roman" w:eastAsia="宋体" w:cs="Times New Roman"/>
                <w:b/>
                <w:bCs/>
                <w:color w:val="auto"/>
                <w:spacing w:val="0"/>
                <w:position w:val="0"/>
                <w:sz w:val="21"/>
                <w:szCs w:val="21"/>
                <w:lang w:val="en-US" w:eastAsia="zh-CN"/>
              </w:rPr>
              <w:t xml:space="preserve">2-4  </w:t>
            </w:r>
            <w:r>
              <w:rPr>
                <w:rFonts w:hint="default" w:ascii="Times New Roman" w:hAnsi="Times New Roman" w:eastAsia="宋体" w:cs="Times New Roman"/>
                <w:b/>
                <w:bCs/>
                <w:color w:val="auto"/>
                <w:spacing w:val="0"/>
                <w:position w:val="0"/>
                <w:sz w:val="21"/>
                <w:szCs w:val="21"/>
                <w:lang w:val="en-US" w:eastAsia="zh-CN"/>
              </w:rPr>
              <w:t xml:space="preserve"> </w:t>
            </w:r>
            <w:r>
              <w:rPr>
                <w:rFonts w:hint="eastAsia" w:ascii="Times New Roman" w:hAnsi="Times New Roman" w:eastAsia="宋体" w:cs="Times New Roman"/>
                <w:b/>
                <w:bCs/>
                <w:color w:val="auto"/>
                <w:spacing w:val="0"/>
                <w:position w:val="0"/>
                <w:sz w:val="21"/>
                <w:szCs w:val="21"/>
                <w:lang w:val="en-US" w:eastAsia="zh-CN"/>
              </w:rPr>
              <w:t>项目原辅料理化性质一览表</w:t>
            </w:r>
          </w:p>
          <w:tbl>
            <w:tblPr>
              <w:tblStyle w:val="31"/>
              <w:tblW w:w="83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855"/>
              <w:gridCol w:w="6639"/>
            </w:tblGrid>
            <w:tr w14:paraId="5B9D3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61" w:type="dxa"/>
                  <w:tcBorders>
                    <w:tl2br w:val="nil"/>
                    <w:tr2bl w:val="nil"/>
                  </w:tcBorders>
                  <w:vAlign w:val="center"/>
                </w:tcPr>
                <w:p w14:paraId="104B53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序号</w:t>
                  </w:r>
                </w:p>
              </w:tc>
              <w:tc>
                <w:tcPr>
                  <w:tcW w:w="855" w:type="dxa"/>
                  <w:tcBorders>
                    <w:tl2br w:val="nil"/>
                    <w:tr2bl w:val="nil"/>
                  </w:tcBorders>
                  <w:vAlign w:val="center"/>
                </w:tcPr>
                <w:p w14:paraId="68DEF1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名称</w:t>
                  </w:r>
                </w:p>
              </w:tc>
              <w:tc>
                <w:tcPr>
                  <w:tcW w:w="6639" w:type="dxa"/>
                  <w:tcBorders>
                    <w:tl2br w:val="nil"/>
                    <w:tr2bl w:val="nil"/>
                  </w:tcBorders>
                  <w:vAlign w:val="center"/>
                </w:tcPr>
                <w:p w14:paraId="0B3D30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理化性质</w:t>
                  </w:r>
                </w:p>
              </w:tc>
            </w:tr>
            <w:tr w14:paraId="7F703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tcBorders>
                    <w:tl2br w:val="nil"/>
                    <w:tr2bl w:val="nil"/>
                  </w:tcBorders>
                  <w:vAlign w:val="center"/>
                </w:tcPr>
                <w:p w14:paraId="58CB3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1</w:t>
                  </w:r>
                </w:p>
              </w:tc>
              <w:tc>
                <w:tcPr>
                  <w:tcW w:w="855" w:type="dxa"/>
                  <w:tcBorders>
                    <w:tl2br w:val="nil"/>
                    <w:tr2bl w:val="nil"/>
                  </w:tcBorders>
                  <w:vAlign w:val="center"/>
                </w:tcPr>
                <w:p w14:paraId="227894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bidi="ar"/>
                    </w:rPr>
                  </w:pPr>
                  <w:r>
                    <w:rPr>
                      <w:rFonts w:hint="eastAsia"/>
                      <w:color w:val="auto"/>
                      <w:spacing w:val="0"/>
                      <w:position w:val="0"/>
                      <w:sz w:val="21"/>
                      <w:szCs w:val="21"/>
                      <w:lang w:val="en-US" w:eastAsia="zh-CN"/>
                    </w:rPr>
                    <w:t>PP</w:t>
                  </w:r>
                  <w:r>
                    <w:rPr>
                      <w:rFonts w:hint="eastAsia" w:ascii="Times New Roman" w:hAnsi="Times New Roman" w:eastAsia="宋体"/>
                      <w:color w:val="auto"/>
                      <w:spacing w:val="0"/>
                      <w:position w:val="0"/>
                      <w:sz w:val="21"/>
                      <w:szCs w:val="21"/>
                      <w:lang w:val="en-US" w:eastAsia="zh-CN"/>
                    </w:rPr>
                    <w:t>新料</w:t>
                  </w:r>
                </w:p>
              </w:tc>
              <w:tc>
                <w:tcPr>
                  <w:tcW w:w="6639" w:type="dxa"/>
                  <w:tcBorders>
                    <w:tl2br w:val="nil"/>
                    <w:tr2bl w:val="nil"/>
                  </w:tcBorders>
                  <w:vAlign w:val="top"/>
                </w:tcPr>
                <w:p w14:paraId="47AAEA9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color w:val="auto"/>
                      <w:spacing w:val="0"/>
                      <w:kern w:val="0"/>
                      <w:position w:val="0"/>
                      <w:sz w:val="21"/>
                      <w:szCs w:val="21"/>
                      <w:vertAlign w:val="baseline"/>
                      <w:lang w:eastAsia="zh-CN" w:bidi="ar"/>
                    </w:rPr>
                  </w:pPr>
                  <w:r>
                    <w:rPr>
                      <w:rFonts w:hint="eastAsia" w:ascii="Times New Roman" w:hAnsi="Times New Roman" w:eastAsia="宋体" w:cs="宋体"/>
                      <w:color w:val="auto"/>
                      <w:spacing w:val="0"/>
                      <w:kern w:val="0"/>
                      <w:position w:val="0"/>
                      <w:sz w:val="21"/>
                      <w:szCs w:val="21"/>
                      <w:vertAlign w:val="baseline"/>
                      <w:lang w:bidi="ar"/>
                    </w:rPr>
                    <w:t>聚丙烯为无毒、无臭、无味的乳白色高</w:t>
                  </w:r>
                  <w:r>
                    <w:rPr>
                      <w:rFonts w:hint="eastAsia" w:cs="宋体"/>
                      <w:color w:val="auto"/>
                      <w:spacing w:val="0"/>
                      <w:kern w:val="0"/>
                      <w:position w:val="0"/>
                      <w:sz w:val="21"/>
                      <w:szCs w:val="21"/>
                      <w:vertAlign w:val="baseline"/>
                      <w:lang w:eastAsia="zh-CN" w:bidi="ar"/>
                    </w:rPr>
                    <w:t>结晶</w:t>
                  </w:r>
                  <w:r>
                    <w:rPr>
                      <w:rFonts w:hint="eastAsia" w:ascii="Times New Roman" w:hAnsi="Times New Roman" w:eastAsia="宋体" w:cs="宋体"/>
                      <w:color w:val="auto"/>
                      <w:spacing w:val="0"/>
                      <w:kern w:val="0"/>
                      <w:position w:val="0"/>
                      <w:sz w:val="21"/>
                      <w:szCs w:val="21"/>
                      <w:vertAlign w:val="baseline"/>
                      <w:lang w:bidi="ar"/>
                    </w:rPr>
                    <w:t>的聚合物，密度只有0.90</w:t>
                  </w:r>
                  <w:r>
                    <w:rPr>
                      <w:rFonts w:hint="eastAsia"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0.91g/cm，是目前所有塑料中最轻的品种之一。它对水特别稳定，在水中的吸水率仅为0.01%，分子量约8万~15万。</w:t>
                  </w:r>
                  <w:r>
                    <w:rPr>
                      <w:rFonts w:hint="eastAsia" w:cs="宋体"/>
                      <w:color w:val="auto"/>
                      <w:spacing w:val="0"/>
                      <w:kern w:val="0"/>
                      <w:position w:val="0"/>
                      <w:sz w:val="21"/>
                      <w:szCs w:val="21"/>
                      <w:vertAlign w:val="baseline"/>
                      <w:lang w:eastAsia="zh-CN" w:bidi="ar"/>
                    </w:rPr>
                    <w:t>成形</w:t>
                  </w:r>
                  <w:r>
                    <w:rPr>
                      <w:rFonts w:hint="eastAsia" w:ascii="Times New Roman" w:hAnsi="Times New Roman" w:eastAsia="宋体" w:cs="宋体"/>
                      <w:color w:val="auto"/>
                      <w:spacing w:val="0"/>
                      <w:kern w:val="0"/>
                      <w:position w:val="0"/>
                      <w:sz w:val="21"/>
                      <w:szCs w:val="21"/>
                      <w:vertAlign w:val="baseline"/>
                      <w:lang w:bidi="ar"/>
                    </w:rPr>
                    <w:t>性好，但因收缩率大</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为1%</w:t>
                  </w:r>
                  <w:r>
                    <w:rPr>
                      <w:rFonts w:hint="eastAsia"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2.5%</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厚壁制品易凹陷，对一些尺寸精度较</w:t>
                  </w:r>
                  <w:r>
                    <w:rPr>
                      <w:rFonts w:hint="eastAsia" w:cs="宋体"/>
                      <w:color w:val="auto"/>
                      <w:spacing w:val="0"/>
                      <w:kern w:val="0"/>
                      <w:position w:val="0"/>
                      <w:sz w:val="21"/>
                      <w:szCs w:val="21"/>
                      <w:vertAlign w:val="baseline"/>
                      <w:lang w:eastAsia="zh-CN" w:bidi="ar"/>
                    </w:rPr>
                    <w:t>高的</w:t>
                  </w:r>
                  <w:r>
                    <w:rPr>
                      <w:rFonts w:hint="eastAsia" w:ascii="Times New Roman" w:hAnsi="Times New Roman" w:eastAsia="宋体" w:cs="宋体"/>
                      <w:color w:val="auto"/>
                      <w:spacing w:val="0"/>
                      <w:kern w:val="0"/>
                      <w:position w:val="0"/>
                      <w:sz w:val="21"/>
                      <w:szCs w:val="21"/>
                      <w:vertAlign w:val="baseline"/>
                      <w:lang w:bidi="ar"/>
                    </w:rPr>
                    <w:t>零件，很</w:t>
                  </w:r>
                  <w:r>
                    <w:rPr>
                      <w:rFonts w:hint="eastAsia" w:cs="宋体"/>
                      <w:color w:val="auto"/>
                      <w:spacing w:val="0"/>
                      <w:kern w:val="0"/>
                      <w:position w:val="0"/>
                      <w:sz w:val="21"/>
                      <w:szCs w:val="21"/>
                      <w:vertAlign w:val="baseline"/>
                      <w:lang w:eastAsia="zh-CN" w:bidi="ar"/>
                    </w:rPr>
                    <w:t>难</w:t>
                  </w:r>
                  <w:r>
                    <w:rPr>
                      <w:rFonts w:hint="eastAsia" w:ascii="Times New Roman" w:hAnsi="Times New Roman" w:eastAsia="宋体" w:cs="宋体"/>
                      <w:color w:val="auto"/>
                      <w:spacing w:val="0"/>
                      <w:kern w:val="0"/>
                      <w:position w:val="0"/>
                      <w:sz w:val="21"/>
                      <w:szCs w:val="21"/>
                      <w:vertAlign w:val="baseline"/>
                      <w:lang w:bidi="ar"/>
                    </w:rPr>
                    <w:t>达到要求，制品表面光泽好。聚丙烯也包括丙烯与少量乙烯的共聚物在内。通常为半透明无色固体，无臭无毒。由于结构规整而高度结</w:t>
                  </w:r>
                  <w:r>
                    <w:rPr>
                      <w:rFonts w:hint="eastAsia" w:cs="宋体"/>
                      <w:color w:val="auto"/>
                      <w:spacing w:val="0"/>
                      <w:kern w:val="0"/>
                      <w:position w:val="0"/>
                      <w:sz w:val="21"/>
                      <w:szCs w:val="21"/>
                      <w:vertAlign w:val="baseline"/>
                      <w:lang w:eastAsia="zh-CN" w:bidi="ar"/>
                    </w:rPr>
                    <w:t>晶</w:t>
                  </w:r>
                  <w:r>
                    <w:rPr>
                      <w:rFonts w:hint="eastAsia" w:ascii="Times New Roman" w:hAnsi="Times New Roman" w:eastAsia="宋体" w:cs="宋体"/>
                      <w:color w:val="auto"/>
                      <w:spacing w:val="0"/>
                      <w:kern w:val="0"/>
                      <w:position w:val="0"/>
                      <w:sz w:val="21"/>
                      <w:szCs w:val="21"/>
                      <w:vertAlign w:val="baseline"/>
                      <w:lang w:bidi="ar"/>
                    </w:rPr>
                    <w:t>化，故熔点可高达167</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。耐热、耐腐蚀，制品可用蒸汽消毒是其突出优点。密度小，是最轻的通用塑料。缺点是耐低温冲击性差，较易老化，但可分别通过改性予以克服。共聚物型的</w:t>
                  </w:r>
                  <w:r>
                    <w:rPr>
                      <w:rFonts w:hint="eastAsia" w:cs="宋体"/>
                      <w:color w:val="auto"/>
                      <w:spacing w:val="0"/>
                      <w:kern w:val="0"/>
                      <w:position w:val="0"/>
                      <w:sz w:val="21"/>
                      <w:szCs w:val="21"/>
                      <w:vertAlign w:val="baseline"/>
                      <w:lang w:eastAsia="zh-CN" w:bidi="ar"/>
                    </w:rPr>
                    <w:t>PP</w:t>
                  </w:r>
                  <w:r>
                    <w:rPr>
                      <w:rFonts w:hint="eastAsia" w:ascii="Times New Roman" w:hAnsi="Times New Roman" w:eastAsia="宋体" w:cs="宋体"/>
                      <w:color w:val="auto"/>
                      <w:spacing w:val="0"/>
                      <w:kern w:val="0"/>
                      <w:position w:val="0"/>
                      <w:sz w:val="21"/>
                      <w:szCs w:val="21"/>
                      <w:vertAlign w:val="baseline"/>
                      <w:lang w:bidi="ar"/>
                    </w:rPr>
                    <w:t>材料有较低的</w:t>
                  </w:r>
                  <w:r>
                    <w:rPr>
                      <w:rFonts w:hint="eastAsia" w:cs="宋体"/>
                      <w:color w:val="auto"/>
                      <w:spacing w:val="0"/>
                      <w:kern w:val="0"/>
                      <w:position w:val="0"/>
                      <w:sz w:val="21"/>
                      <w:szCs w:val="21"/>
                      <w:vertAlign w:val="baseline"/>
                      <w:lang w:eastAsia="zh-CN" w:bidi="ar"/>
                    </w:rPr>
                    <w:t>热变性</w:t>
                  </w:r>
                  <w:r>
                    <w:rPr>
                      <w:rFonts w:hint="eastAsia" w:ascii="Times New Roman" w:hAnsi="Times New Roman" w:eastAsia="宋体" w:cs="宋体"/>
                      <w:color w:val="auto"/>
                      <w:spacing w:val="0"/>
                      <w:kern w:val="0"/>
                      <w:position w:val="0"/>
                      <w:sz w:val="21"/>
                      <w:szCs w:val="21"/>
                      <w:vertAlign w:val="baseline"/>
                      <w:lang w:bidi="ar"/>
                    </w:rPr>
                    <w:t>温度</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100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、低透明度、低光泽度、低刚性，但是有更强的抗冲击强度，</w:t>
                  </w:r>
                  <w:r>
                    <w:rPr>
                      <w:rFonts w:hint="eastAsia" w:cs="宋体"/>
                      <w:color w:val="auto"/>
                      <w:spacing w:val="0"/>
                      <w:kern w:val="0"/>
                      <w:position w:val="0"/>
                      <w:sz w:val="21"/>
                      <w:szCs w:val="21"/>
                      <w:vertAlign w:val="baseline"/>
                      <w:lang w:eastAsia="zh-CN" w:bidi="ar"/>
                    </w:rPr>
                    <w:t>PP</w:t>
                  </w:r>
                  <w:r>
                    <w:rPr>
                      <w:rFonts w:hint="eastAsia" w:ascii="Times New Roman" w:hAnsi="Times New Roman" w:eastAsia="宋体" w:cs="宋体"/>
                      <w:color w:val="auto"/>
                      <w:spacing w:val="0"/>
                      <w:kern w:val="0"/>
                      <w:position w:val="0"/>
                      <w:sz w:val="21"/>
                      <w:szCs w:val="21"/>
                      <w:vertAlign w:val="baseline"/>
                      <w:lang w:bidi="ar"/>
                    </w:rPr>
                    <w:t>的冲击强度随着乙烯含量的增加而增大。</w:t>
                  </w:r>
                  <w:r>
                    <w:rPr>
                      <w:rFonts w:hint="eastAsia" w:cs="宋体"/>
                      <w:color w:val="auto"/>
                      <w:spacing w:val="0"/>
                      <w:kern w:val="0"/>
                      <w:position w:val="0"/>
                      <w:sz w:val="21"/>
                      <w:szCs w:val="21"/>
                      <w:vertAlign w:val="baseline"/>
                      <w:lang w:eastAsia="zh-CN" w:bidi="ar"/>
                    </w:rPr>
                    <w:t>PP</w:t>
                  </w:r>
                  <w:r>
                    <w:rPr>
                      <w:rFonts w:hint="eastAsia" w:ascii="Times New Roman" w:hAnsi="Times New Roman" w:eastAsia="宋体" w:cs="宋体"/>
                      <w:color w:val="auto"/>
                      <w:spacing w:val="0"/>
                      <w:kern w:val="0"/>
                      <w:position w:val="0"/>
                      <w:sz w:val="21"/>
                      <w:szCs w:val="21"/>
                      <w:vertAlign w:val="baseline"/>
                      <w:lang w:bidi="ar"/>
                    </w:rPr>
                    <w:t>的维卡软化温度为150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，热分解温度为300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。由于</w:t>
                  </w:r>
                  <w:r>
                    <w:rPr>
                      <w:rFonts w:hint="eastAsia" w:cs="宋体"/>
                      <w:color w:val="auto"/>
                      <w:spacing w:val="0"/>
                      <w:kern w:val="0"/>
                      <w:position w:val="0"/>
                      <w:sz w:val="21"/>
                      <w:szCs w:val="21"/>
                      <w:vertAlign w:val="baseline"/>
                      <w:lang w:eastAsia="zh-CN" w:bidi="ar"/>
                    </w:rPr>
                    <w:t>结晶度</w:t>
                  </w:r>
                  <w:r>
                    <w:rPr>
                      <w:rFonts w:hint="eastAsia" w:ascii="Times New Roman" w:hAnsi="Times New Roman" w:eastAsia="宋体" w:cs="宋体"/>
                      <w:color w:val="auto"/>
                      <w:spacing w:val="0"/>
                      <w:kern w:val="0"/>
                      <w:position w:val="0"/>
                      <w:sz w:val="21"/>
                      <w:szCs w:val="21"/>
                      <w:vertAlign w:val="baseline"/>
                      <w:lang w:bidi="ar"/>
                    </w:rPr>
                    <w:t>较高，这种材料的表面刚度和抗划痕特性很好。</w:t>
                  </w:r>
                  <w:r>
                    <w:rPr>
                      <w:rFonts w:hint="eastAsia" w:cs="宋体"/>
                      <w:color w:val="auto"/>
                      <w:spacing w:val="0"/>
                      <w:kern w:val="0"/>
                      <w:position w:val="0"/>
                      <w:sz w:val="21"/>
                      <w:szCs w:val="21"/>
                      <w:vertAlign w:val="baseline"/>
                      <w:lang w:eastAsia="zh-CN" w:bidi="ar"/>
                    </w:rPr>
                    <w:t>PP</w:t>
                  </w:r>
                  <w:r>
                    <w:rPr>
                      <w:rFonts w:hint="eastAsia" w:ascii="Times New Roman" w:hAnsi="Times New Roman" w:eastAsia="宋体" w:cs="宋体"/>
                      <w:color w:val="auto"/>
                      <w:spacing w:val="0"/>
                      <w:kern w:val="0"/>
                      <w:position w:val="0"/>
                      <w:sz w:val="21"/>
                      <w:szCs w:val="21"/>
                      <w:vertAlign w:val="baseline"/>
                      <w:lang w:bidi="ar"/>
                    </w:rPr>
                    <w:t>不存在环境应力开裂问题</w:t>
                  </w:r>
                  <w:r>
                    <w:rPr>
                      <w:rFonts w:hint="eastAsia" w:ascii="Times New Roman" w:hAnsi="Times New Roman" w:eastAsia="宋体" w:cs="宋体"/>
                      <w:color w:val="auto"/>
                      <w:spacing w:val="0"/>
                      <w:kern w:val="0"/>
                      <w:position w:val="0"/>
                      <w:sz w:val="21"/>
                      <w:szCs w:val="21"/>
                      <w:vertAlign w:val="baseline"/>
                      <w:lang w:eastAsia="zh-CN" w:bidi="ar"/>
                    </w:rPr>
                    <w:t>。</w:t>
                  </w:r>
                </w:p>
              </w:tc>
            </w:tr>
            <w:tr w14:paraId="6A26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1" w:type="dxa"/>
                  <w:tcBorders>
                    <w:tl2br w:val="nil"/>
                    <w:tr2bl w:val="nil"/>
                  </w:tcBorders>
                  <w:vAlign w:val="center"/>
                </w:tcPr>
                <w:p w14:paraId="76512C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2</w:t>
                  </w:r>
                </w:p>
              </w:tc>
              <w:tc>
                <w:tcPr>
                  <w:tcW w:w="855" w:type="dxa"/>
                  <w:tcBorders>
                    <w:tl2br w:val="nil"/>
                    <w:tr2bl w:val="nil"/>
                  </w:tcBorders>
                  <w:vAlign w:val="center"/>
                </w:tcPr>
                <w:p w14:paraId="4B9926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bidi="ar"/>
                    </w:rPr>
                  </w:pPr>
                  <w:r>
                    <w:rPr>
                      <w:rFonts w:hint="eastAsia"/>
                      <w:color w:val="auto"/>
                      <w:spacing w:val="0"/>
                      <w:position w:val="0"/>
                      <w:sz w:val="21"/>
                      <w:szCs w:val="21"/>
                      <w:lang w:val="en-US" w:eastAsia="zh-CN"/>
                    </w:rPr>
                    <w:t>PE</w:t>
                  </w:r>
                  <w:r>
                    <w:rPr>
                      <w:rFonts w:hint="eastAsia" w:ascii="Times New Roman" w:hAnsi="Times New Roman" w:eastAsia="宋体"/>
                      <w:color w:val="auto"/>
                      <w:spacing w:val="0"/>
                      <w:position w:val="0"/>
                      <w:sz w:val="21"/>
                      <w:szCs w:val="21"/>
                      <w:lang w:val="en-US" w:eastAsia="zh-CN"/>
                    </w:rPr>
                    <w:t>新料</w:t>
                  </w:r>
                </w:p>
              </w:tc>
              <w:tc>
                <w:tcPr>
                  <w:tcW w:w="6639" w:type="dxa"/>
                  <w:tcBorders>
                    <w:tl2br w:val="nil"/>
                    <w:tr2bl w:val="nil"/>
                  </w:tcBorders>
                  <w:vAlign w:val="top"/>
                </w:tcPr>
                <w:p w14:paraId="6E77868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color w:val="auto"/>
                      <w:spacing w:val="0"/>
                      <w:kern w:val="0"/>
                      <w:position w:val="0"/>
                      <w:sz w:val="21"/>
                      <w:szCs w:val="21"/>
                      <w:vertAlign w:val="baseline"/>
                      <w:lang w:bidi="ar"/>
                    </w:rPr>
                  </w:pPr>
                  <w:r>
                    <w:rPr>
                      <w:rFonts w:hint="eastAsia" w:ascii="Times New Roman" w:hAnsi="Times New Roman" w:eastAsia="宋体" w:cs="宋体"/>
                      <w:color w:val="auto"/>
                      <w:spacing w:val="0"/>
                      <w:kern w:val="0"/>
                      <w:position w:val="0"/>
                      <w:sz w:val="21"/>
                      <w:szCs w:val="21"/>
                      <w:vertAlign w:val="baseline"/>
                      <w:lang w:bidi="ar"/>
                    </w:rPr>
                    <w:t>聚乙烯</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cs="宋体"/>
                      <w:color w:val="auto"/>
                      <w:spacing w:val="0"/>
                      <w:kern w:val="0"/>
                      <w:position w:val="0"/>
                      <w:sz w:val="21"/>
                      <w:szCs w:val="21"/>
                      <w:vertAlign w:val="baseline"/>
                      <w:lang w:eastAsia="zh-CN" w:bidi="ar"/>
                    </w:rPr>
                    <w:t>PE</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是五大合成树脂之一，是我国合成树脂中产能最大、进口量最多的品种。抗腐蚀性，电绝缘性</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尤其高频绝缘性</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优良，可以氯化，辐照改性，可用玻璃纤维增强，高密度聚乙烯的熔点、刚性、硬度和强度较高，热分解温度为320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，吸水性小，有良好的电性能和耐辐射性</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低密度聚乙烯的柔软性、伸长率、冲击强度和渗透性较好</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超高分子量聚乙烯冲击强度高、耐疲劳、耐磨。高密度聚乙烯适于制作耐腐蚀零件和绝缘零件</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低密度聚乙烯适于制作薄膜等</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超高分子量聚乙烯适于制作减震</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耐磨及传动零件。</w:t>
                  </w:r>
                </w:p>
              </w:tc>
            </w:tr>
            <w:tr w14:paraId="3FB9F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61" w:type="dxa"/>
                  <w:tcBorders>
                    <w:tl2br w:val="nil"/>
                    <w:tr2bl w:val="nil"/>
                  </w:tcBorders>
                  <w:vAlign w:val="center"/>
                </w:tcPr>
                <w:p w14:paraId="01CAD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3</w:t>
                  </w:r>
                </w:p>
              </w:tc>
              <w:tc>
                <w:tcPr>
                  <w:tcW w:w="855" w:type="dxa"/>
                  <w:tcBorders>
                    <w:tl2br w:val="nil"/>
                    <w:tr2bl w:val="nil"/>
                  </w:tcBorders>
                  <w:vAlign w:val="center"/>
                </w:tcPr>
                <w:p w14:paraId="79069B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pacing w:val="0"/>
                      <w:kern w:val="0"/>
                      <w:position w:val="0"/>
                      <w:sz w:val="21"/>
                      <w:szCs w:val="21"/>
                      <w:vertAlign w:val="baseline"/>
                      <w:lang w:bidi="ar"/>
                    </w:rPr>
                  </w:pPr>
                  <w:r>
                    <w:rPr>
                      <w:rFonts w:hint="eastAsia"/>
                      <w:color w:val="auto"/>
                      <w:spacing w:val="0"/>
                      <w:position w:val="0"/>
                      <w:sz w:val="21"/>
                      <w:szCs w:val="21"/>
                      <w:lang w:val="en-US" w:eastAsia="zh-CN"/>
                    </w:rPr>
                    <w:t>PVC</w:t>
                  </w:r>
                  <w:r>
                    <w:rPr>
                      <w:rFonts w:hint="eastAsia" w:ascii="Times New Roman" w:hAnsi="Times New Roman" w:eastAsia="宋体"/>
                      <w:color w:val="auto"/>
                      <w:spacing w:val="0"/>
                      <w:position w:val="0"/>
                      <w:sz w:val="21"/>
                      <w:szCs w:val="21"/>
                      <w:lang w:val="en-US" w:eastAsia="zh-CN"/>
                    </w:rPr>
                    <w:t>颗粒</w:t>
                  </w:r>
                </w:p>
              </w:tc>
              <w:tc>
                <w:tcPr>
                  <w:tcW w:w="6639" w:type="dxa"/>
                  <w:tcBorders>
                    <w:tl2br w:val="nil"/>
                    <w:tr2bl w:val="nil"/>
                  </w:tcBorders>
                  <w:vAlign w:val="top"/>
                </w:tcPr>
                <w:p w14:paraId="08DD1DA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color w:val="auto"/>
                      <w:spacing w:val="0"/>
                      <w:kern w:val="0"/>
                      <w:position w:val="0"/>
                      <w:sz w:val="21"/>
                      <w:szCs w:val="21"/>
                      <w:vertAlign w:val="baseline"/>
                      <w:lang w:bidi="ar"/>
                    </w:rPr>
                  </w:pPr>
                  <w:r>
                    <w:rPr>
                      <w:rFonts w:hint="eastAsia" w:ascii="Times New Roman" w:hAnsi="Times New Roman" w:eastAsia="宋体" w:cs="宋体"/>
                      <w:color w:val="auto"/>
                      <w:spacing w:val="0"/>
                      <w:kern w:val="0"/>
                      <w:position w:val="0"/>
                      <w:sz w:val="21"/>
                      <w:szCs w:val="21"/>
                      <w:vertAlign w:val="baseline"/>
                      <w:lang w:bidi="ar"/>
                    </w:rPr>
                    <w:t>聚氯乙烯为微黄色半透明状，有光泽</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稳定</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不易被酸、碱腐蚀</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对热比较耐受</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具有阻燃</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阻燃值为40以上</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、耐化学药品性高</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耐浓盐酸、浓度为90%的硫酸、浓度为60%的硝酸和浓度20%的氢氧化钠</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、机械强度及电绝缘性良好的优点</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具有稳定的物理化学性质，不溶于水、酒精、汽油，气体、水汽渗漏性低</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在常温下可耐任何浓度的盐酸、90%以下的硫酸、50-60%的硝酸和20%以下的烧碱溶液，具有一定的抗化学腐蚀性</w:t>
                  </w:r>
                  <w:r>
                    <w:rPr>
                      <w:rFonts w:hint="eastAsia" w:ascii="Times New Roman" w:hAnsi="Times New Roman" w:eastAsia="宋体" w:cs="宋体"/>
                      <w:color w:val="auto"/>
                      <w:spacing w:val="0"/>
                      <w:kern w:val="0"/>
                      <w:position w:val="0"/>
                      <w:sz w:val="21"/>
                      <w:szCs w:val="21"/>
                      <w:vertAlign w:val="baseline"/>
                      <w:lang w:eastAsia="zh-CN" w:bidi="ar"/>
                    </w:rPr>
                    <w:t>；</w:t>
                  </w:r>
                  <w:r>
                    <w:rPr>
                      <w:rFonts w:hint="eastAsia" w:ascii="Times New Roman" w:hAnsi="Times New Roman" w:eastAsia="宋体" w:cs="宋体"/>
                      <w:color w:val="auto"/>
                      <w:spacing w:val="0"/>
                      <w:kern w:val="0"/>
                      <w:position w:val="0"/>
                      <w:sz w:val="21"/>
                      <w:szCs w:val="21"/>
                      <w:vertAlign w:val="baseline"/>
                      <w:lang w:bidi="ar"/>
                    </w:rPr>
                    <w:t>对盐类相当稳定，但能够溶解于醚、酮、氯化脂肪烃和芳香烃等有机溶剂，其耐热性较差，玻璃化温度为77~90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，于130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开始分解，并析出HC</w:t>
                  </w:r>
                  <w:r>
                    <w:rPr>
                      <w:rFonts w:hint="eastAsia" w:ascii="Times New Roman" w:hAnsi="Times New Roman" w:eastAsia="宋体" w:cs="宋体"/>
                      <w:color w:val="auto"/>
                      <w:spacing w:val="0"/>
                      <w:kern w:val="0"/>
                      <w:position w:val="0"/>
                      <w:sz w:val="21"/>
                      <w:szCs w:val="21"/>
                      <w:vertAlign w:val="baseline"/>
                      <w:lang w:val="en-US" w:eastAsia="zh-CN" w:bidi="ar"/>
                    </w:rPr>
                    <w:t>l</w:t>
                  </w:r>
                  <w:r>
                    <w:rPr>
                      <w:rFonts w:hint="eastAsia" w:ascii="Times New Roman" w:hAnsi="Times New Roman" w:eastAsia="宋体" w:cs="宋体"/>
                      <w:color w:val="auto"/>
                      <w:spacing w:val="0"/>
                      <w:kern w:val="0"/>
                      <w:position w:val="0"/>
                      <w:sz w:val="21"/>
                      <w:szCs w:val="21"/>
                      <w:vertAlign w:val="baseline"/>
                      <w:lang w:bidi="ar"/>
                    </w:rPr>
                    <w:t>。此外，PVC的光、热稳定性较差，在100</w:t>
                  </w:r>
                  <w:r>
                    <w:rPr>
                      <w:rFonts w:hint="default" w:ascii="Times New Roman" w:hAnsi="Times New Roman" w:eastAsia="宋体" w:cs="Times New Roman"/>
                      <w:color w:val="auto"/>
                      <w:spacing w:val="0"/>
                      <w:kern w:val="0"/>
                      <w:position w:val="0"/>
                      <w:sz w:val="21"/>
                      <w:szCs w:val="21"/>
                      <w:vertAlign w:val="baseline"/>
                      <w:lang w:bidi="ar"/>
                    </w:rPr>
                    <w:t>℃</w:t>
                  </w:r>
                  <w:r>
                    <w:rPr>
                      <w:rFonts w:hint="eastAsia" w:ascii="Times New Roman" w:hAnsi="Times New Roman" w:eastAsia="宋体" w:cs="宋体"/>
                      <w:color w:val="auto"/>
                      <w:spacing w:val="0"/>
                      <w:kern w:val="0"/>
                      <w:position w:val="0"/>
                      <w:sz w:val="21"/>
                      <w:szCs w:val="21"/>
                      <w:vertAlign w:val="baseline"/>
                      <w:lang w:bidi="ar"/>
                    </w:rPr>
                    <w:t>以上或经长时间阳光暴晒，就会分解产生HC</w:t>
                  </w:r>
                  <w:r>
                    <w:rPr>
                      <w:rFonts w:hint="eastAsia" w:ascii="Times New Roman" w:hAnsi="Times New Roman" w:eastAsia="宋体" w:cs="宋体"/>
                      <w:color w:val="auto"/>
                      <w:spacing w:val="0"/>
                      <w:kern w:val="0"/>
                      <w:position w:val="0"/>
                      <w:sz w:val="21"/>
                      <w:szCs w:val="21"/>
                      <w:vertAlign w:val="baseline"/>
                      <w:lang w:val="en-US" w:eastAsia="zh-CN" w:bidi="ar"/>
                    </w:rPr>
                    <w:t>l</w:t>
                  </w:r>
                  <w:r>
                    <w:rPr>
                      <w:rFonts w:hint="eastAsia" w:ascii="Times New Roman" w:hAnsi="Times New Roman" w:eastAsia="宋体" w:cs="宋体"/>
                      <w:color w:val="auto"/>
                      <w:spacing w:val="0"/>
                      <w:kern w:val="0"/>
                      <w:position w:val="0"/>
                      <w:sz w:val="21"/>
                      <w:szCs w:val="21"/>
                      <w:vertAlign w:val="baseline"/>
                      <w:lang w:bidi="ar"/>
                    </w:rPr>
                    <w:t>。并进一步自动催化分解、变色，物理机械性能迅速下降，因此在实际应用中必须加入稳定剂以提高对热和光的稳定性。</w:t>
                  </w:r>
                </w:p>
              </w:tc>
            </w:tr>
            <w:tr w14:paraId="7C1DD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61" w:type="dxa"/>
                  <w:tcBorders>
                    <w:tl2br w:val="nil"/>
                    <w:tr2bl w:val="nil"/>
                  </w:tcBorders>
                  <w:vAlign w:val="center"/>
                </w:tcPr>
                <w:p w14:paraId="4EBFA9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pacing w:val="0"/>
                      <w:kern w:val="0"/>
                      <w:position w:val="0"/>
                      <w:sz w:val="21"/>
                      <w:szCs w:val="21"/>
                      <w:vertAlign w:val="baseline"/>
                      <w:lang w:val="en-US" w:eastAsia="zh-CN" w:bidi="ar"/>
                    </w:rPr>
                  </w:pPr>
                  <w:r>
                    <w:rPr>
                      <w:rFonts w:hint="eastAsia" w:cs="宋体"/>
                      <w:color w:val="auto"/>
                      <w:spacing w:val="0"/>
                      <w:kern w:val="0"/>
                      <w:position w:val="0"/>
                      <w:sz w:val="21"/>
                      <w:szCs w:val="21"/>
                      <w:vertAlign w:val="baseline"/>
                      <w:lang w:val="en-US" w:eastAsia="zh-CN" w:bidi="ar"/>
                    </w:rPr>
                    <w:t>4</w:t>
                  </w:r>
                </w:p>
              </w:tc>
              <w:tc>
                <w:tcPr>
                  <w:tcW w:w="855" w:type="dxa"/>
                  <w:tcBorders>
                    <w:tl2br w:val="nil"/>
                    <w:tr2bl w:val="nil"/>
                  </w:tcBorders>
                  <w:vAlign w:val="center"/>
                </w:tcPr>
                <w:p w14:paraId="398A055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color w:val="auto"/>
                      <w:spacing w:val="0"/>
                      <w:kern w:val="0"/>
                      <w:position w:val="0"/>
                      <w:sz w:val="21"/>
                      <w:szCs w:val="21"/>
                      <w:vertAlign w:val="baseline"/>
                      <w:lang w:val="en-US" w:eastAsia="zh-CN" w:bidi="ar"/>
                    </w:rPr>
                  </w:pPr>
                  <w:r>
                    <w:rPr>
                      <w:rFonts w:hint="eastAsia" w:cs="宋体"/>
                      <w:color w:val="auto"/>
                      <w:spacing w:val="0"/>
                      <w:kern w:val="0"/>
                      <w:position w:val="0"/>
                      <w:sz w:val="21"/>
                      <w:szCs w:val="21"/>
                      <w:vertAlign w:val="baseline"/>
                      <w:lang w:val="en-US" w:eastAsia="zh-CN" w:bidi="ar"/>
                    </w:rPr>
                    <w:t>色母粒</w:t>
                  </w:r>
                </w:p>
              </w:tc>
              <w:tc>
                <w:tcPr>
                  <w:tcW w:w="6639" w:type="dxa"/>
                  <w:tcBorders>
                    <w:tl2br w:val="nil"/>
                    <w:tr2bl w:val="nil"/>
                  </w:tcBorders>
                  <w:vAlign w:val="top"/>
                </w:tcPr>
                <w:p w14:paraId="1F523BB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default" w:ascii="Times New Roman" w:hAnsi="Times New Roman" w:eastAsia="宋体" w:cs="宋体"/>
                      <w:color w:val="auto"/>
                      <w:spacing w:val="0"/>
                      <w:kern w:val="0"/>
                      <w:position w:val="0"/>
                      <w:sz w:val="21"/>
                      <w:szCs w:val="21"/>
                      <w:vertAlign w:val="baseline"/>
                      <w:lang w:val="en-US" w:eastAsia="zh-CN" w:bidi="ar"/>
                    </w:rPr>
                    <w:t>一种新型高分子材料专用着色剂，亦称颜料制备物。色母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p>
              </w:tc>
            </w:tr>
            <w:tr w14:paraId="355E4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61" w:type="dxa"/>
                  <w:tcBorders>
                    <w:tl2br w:val="nil"/>
                    <w:tr2bl w:val="nil"/>
                  </w:tcBorders>
                  <w:vAlign w:val="center"/>
                </w:tcPr>
                <w:p w14:paraId="1D53FC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pacing w:val="0"/>
                      <w:kern w:val="0"/>
                      <w:position w:val="0"/>
                      <w:sz w:val="21"/>
                      <w:szCs w:val="21"/>
                      <w:vertAlign w:val="baseline"/>
                      <w:lang w:val="en-US" w:eastAsia="zh-CN" w:bidi="ar"/>
                    </w:rPr>
                  </w:pPr>
                  <w:r>
                    <w:rPr>
                      <w:rFonts w:hint="eastAsia" w:cs="宋体"/>
                      <w:color w:val="auto"/>
                      <w:spacing w:val="0"/>
                      <w:kern w:val="0"/>
                      <w:position w:val="0"/>
                      <w:sz w:val="21"/>
                      <w:szCs w:val="21"/>
                      <w:vertAlign w:val="baseline"/>
                      <w:lang w:val="en-US" w:eastAsia="zh-CN" w:bidi="ar"/>
                    </w:rPr>
                    <w:t>5</w:t>
                  </w:r>
                </w:p>
              </w:tc>
              <w:tc>
                <w:tcPr>
                  <w:tcW w:w="855" w:type="dxa"/>
                  <w:tcBorders>
                    <w:tl2br w:val="nil"/>
                    <w:tr2bl w:val="nil"/>
                  </w:tcBorders>
                  <w:vAlign w:val="center"/>
                </w:tcPr>
                <w:p w14:paraId="06E5EF6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宋体"/>
                      <w:color w:val="auto"/>
                      <w:spacing w:val="0"/>
                      <w:kern w:val="0"/>
                      <w:position w:val="0"/>
                      <w:sz w:val="21"/>
                      <w:szCs w:val="21"/>
                      <w:vertAlign w:val="baseline"/>
                      <w:lang w:val="en-US" w:eastAsia="zh-CN" w:bidi="ar"/>
                    </w:rPr>
                  </w:pPr>
                  <w:r>
                    <w:rPr>
                      <w:rFonts w:hint="eastAsia" w:cs="宋体"/>
                      <w:color w:val="auto"/>
                      <w:spacing w:val="0"/>
                      <w:kern w:val="0"/>
                      <w:position w:val="0"/>
                      <w:sz w:val="21"/>
                      <w:szCs w:val="21"/>
                      <w:vertAlign w:val="baseline"/>
                      <w:lang w:val="en-US" w:eastAsia="zh-CN" w:bidi="ar"/>
                    </w:rPr>
                    <w:t>抗氧化剂</w:t>
                  </w:r>
                </w:p>
              </w:tc>
              <w:tc>
                <w:tcPr>
                  <w:tcW w:w="6639" w:type="dxa"/>
                  <w:tcBorders>
                    <w:tl2br w:val="nil"/>
                    <w:tr2bl w:val="nil"/>
                  </w:tcBorders>
                  <w:vAlign w:val="top"/>
                </w:tcPr>
                <w:p w14:paraId="7F26F15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宋体"/>
                      <w:color w:val="auto"/>
                      <w:spacing w:val="0"/>
                      <w:kern w:val="0"/>
                      <w:position w:val="0"/>
                      <w:sz w:val="21"/>
                      <w:szCs w:val="21"/>
                      <w:vertAlign w:val="baseline"/>
                      <w:lang w:val="en-US" w:eastAsia="zh-CN" w:bidi="ar"/>
                    </w:rPr>
                  </w:pPr>
                  <w:r>
                    <w:rPr>
                      <w:rFonts w:hint="eastAsia" w:ascii="Times New Roman" w:hAnsi="Times New Roman" w:eastAsia="宋体" w:cs="宋体"/>
                      <w:color w:val="auto"/>
                      <w:spacing w:val="0"/>
                      <w:kern w:val="0"/>
                      <w:position w:val="0"/>
                      <w:sz w:val="21"/>
                      <w:szCs w:val="21"/>
                      <w:vertAlign w:val="baseline"/>
                      <w:lang w:val="en-US" w:eastAsia="zh-CN" w:bidi="ar"/>
                    </w:rPr>
                    <w:t>抗氧化剂是阻止氧气不良影响的物质。它是一类能帮助捕获并中和自由基，从面祛除自由基对人体损害的一类物质。</w:t>
                  </w:r>
                </w:p>
              </w:tc>
            </w:tr>
          </w:tbl>
          <w:p w14:paraId="69F01E1D">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textAlignment w:val="auto"/>
              <w:rPr>
                <w:color w:val="auto"/>
                <w:spacing w:val="0"/>
                <w:position w:val="0"/>
                <w:sz w:val="21"/>
                <w:szCs w:val="21"/>
              </w:rPr>
            </w:pPr>
            <w:r>
              <w:rPr>
                <w:rFonts w:hint="eastAsia"/>
                <w:color w:val="auto"/>
                <w:spacing w:val="0"/>
                <w:position w:val="0"/>
                <w:sz w:val="21"/>
                <w:szCs w:val="21"/>
              </w:rPr>
              <w:t>本项目物料平衡情况见下表</w:t>
            </w:r>
          </w:p>
          <w:p w14:paraId="6BA4624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表</w:t>
            </w:r>
            <w:r>
              <w:rPr>
                <w:rFonts w:hint="default" w:ascii="Times New Roman" w:hAnsi="Times New Roman" w:eastAsia="宋体" w:cs="Times New Roman"/>
                <w:b/>
                <w:bCs/>
                <w:color w:val="auto"/>
                <w:spacing w:val="0"/>
                <w:position w:val="0"/>
                <w:sz w:val="21"/>
                <w:szCs w:val="21"/>
                <w:lang w:val="en-US" w:eastAsia="zh-CN"/>
              </w:rPr>
              <w:t>2-5</w:t>
            </w:r>
            <w:r>
              <w:rPr>
                <w:rFonts w:hint="default" w:ascii="Times New Roman" w:hAnsi="Times New Roman" w:eastAsia="宋体" w:cs="Times New Roman"/>
                <w:b/>
                <w:bCs/>
                <w:color w:val="auto"/>
                <w:spacing w:val="0"/>
                <w:position w:val="0"/>
                <w:sz w:val="21"/>
                <w:szCs w:val="21"/>
              </w:rPr>
              <w:t xml:space="preserve">   项目物料平衡表</w:t>
            </w:r>
          </w:p>
          <w:tbl>
            <w:tblPr>
              <w:tblStyle w:val="30"/>
              <w:tblW w:w="4998" w:type="pct"/>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54"/>
              <w:gridCol w:w="2097"/>
              <w:gridCol w:w="2075"/>
              <w:gridCol w:w="2127"/>
            </w:tblGrid>
            <w:tr w14:paraId="004CF1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6" w:hRule="atLeast"/>
              </w:trPr>
              <w:tc>
                <w:tcPr>
                  <w:tcW w:w="2485" w:type="pct"/>
                  <w:gridSpan w:val="2"/>
                  <w:tcBorders>
                    <w:tl2br w:val="nil"/>
                    <w:tr2bl w:val="nil"/>
                  </w:tcBorders>
                  <w:shd w:val="clear" w:color="auto" w:fill="auto"/>
                  <w:vAlign w:val="center"/>
                </w:tcPr>
                <w:p w14:paraId="38A844B8">
                  <w:pPr>
                    <w:widowControl/>
                    <w:spacing w:line="240" w:lineRule="auto"/>
                    <w:ind w:firstLine="0" w:firstLineChars="0"/>
                    <w:jc w:val="center"/>
                    <w:textAlignment w:val="center"/>
                    <w:rPr>
                      <w:rFonts w:hint="default" w:ascii="Times New Roman" w:hAnsi="Times New Roman" w:cs="Times New Roman"/>
                      <w:color w:val="auto"/>
                      <w:spacing w:val="0"/>
                      <w:position w:val="0"/>
                      <w:sz w:val="21"/>
                      <w:szCs w:val="21"/>
                    </w:rPr>
                  </w:pPr>
                  <w:r>
                    <w:rPr>
                      <w:rStyle w:val="87"/>
                      <w:rFonts w:hint="default" w:ascii="Times New Roman" w:hAnsi="Times New Roman" w:cs="Times New Roman"/>
                      <w:color w:val="auto"/>
                      <w:spacing w:val="0"/>
                      <w:position w:val="0"/>
                      <w:sz w:val="21"/>
                      <w:szCs w:val="21"/>
                      <w:lang w:bidi="ar"/>
                    </w:rPr>
                    <w:t>投入</w:t>
                  </w:r>
                </w:p>
              </w:tc>
              <w:tc>
                <w:tcPr>
                  <w:tcW w:w="2514" w:type="pct"/>
                  <w:gridSpan w:val="2"/>
                  <w:tcBorders>
                    <w:tl2br w:val="nil"/>
                    <w:tr2bl w:val="nil"/>
                  </w:tcBorders>
                  <w:shd w:val="clear" w:color="auto" w:fill="auto"/>
                  <w:vAlign w:val="center"/>
                </w:tcPr>
                <w:p w14:paraId="6F4B9FB2">
                  <w:pPr>
                    <w:widowControl/>
                    <w:spacing w:line="240" w:lineRule="auto"/>
                    <w:ind w:firstLine="0" w:firstLineChars="0"/>
                    <w:jc w:val="center"/>
                    <w:textAlignment w:val="center"/>
                    <w:rPr>
                      <w:rFonts w:hint="default" w:ascii="Times New Roman" w:hAnsi="Times New Roman" w:cs="Times New Roman"/>
                      <w:color w:val="auto"/>
                      <w:spacing w:val="0"/>
                      <w:position w:val="0"/>
                      <w:sz w:val="21"/>
                      <w:szCs w:val="21"/>
                    </w:rPr>
                  </w:pPr>
                  <w:r>
                    <w:rPr>
                      <w:rStyle w:val="87"/>
                      <w:rFonts w:hint="default" w:ascii="Times New Roman" w:hAnsi="Times New Roman" w:cs="Times New Roman"/>
                      <w:color w:val="auto"/>
                      <w:spacing w:val="0"/>
                      <w:position w:val="0"/>
                      <w:sz w:val="21"/>
                      <w:szCs w:val="21"/>
                      <w:lang w:bidi="ar"/>
                    </w:rPr>
                    <w:t>产出</w:t>
                  </w:r>
                </w:p>
              </w:tc>
            </w:tr>
            <w:tr w14:paraId="3F5F85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 w:hRule="atLeast"/>
              </w:trPr>
              <w:tc>
                <w:tcPr>
                  <w:tcW w:w="1230" w:type="pct"/>
                  <w:tcBorders>
                    <w:tl2br w:val="nil"/>
                    <w:tr2bl w:val="nil"/>
                  </w:tcBorders>
                  <w:shd w:val="clear" w:color="auto" w:fill="auto"/>
                  <w:vAlign w:val="center"/>
                </w:tcPr>
                <w:p w14:paraId="5A998008">
                  <w:pPr>
                    <w:widowControl/>
                    <w:spacing w:line="240" w:lineRule="auto"/>
                    <w:ind w:firstLine="0" w:firstLineChars="0"/>
                    <w:jc w:val="center"/>
                    <w:textAlignment w:val="center"/>
                    <w:rPr>
                      <w:rFonts w:hint="default" w:ascii="Times New Roman" w:hAnsi="Times New Roman" w:cs="Times New Roman"/>
                      <w:color w:val="auto"/>
                      <w:spacing w:val="0"/>
                      <w:position w:val="0"/>
                      <w:sz w:val="21"/>
                      <w:szCs w:val="21"/>
                    </w:rPr>
                  </w:pPr>
                  <w:r>
                    <w:rPr>
                      <w:rStyle w:val="87"/>
                      <w:rFonts w:hint="default" w:ascii="Times New Roman" w:hAnsi="Times New Roman" w:cs="Times New Roman"/>
                      <w:color w:val="auto"/>
                      <w:spacing w:val="0"/>
                      <w:position w:val="0"/>
                      <w:sz w:val="21"/>
                      <w:szCs w:val="21"/>
                      <w:lang w:bidi="ar"/>
                    </w:rPr>
                    <w:t>物料</w:t>
                  </w:r>
                </w:p>
              </w:tc>
              <w:tc>
                <w:tcPr>
                  <w:tcW w:w="1254" w:type="pct"/>
                  <w:tcBorders>
                    <w:tl2br w:val="nil"/>
                    <w:tr2bl w:val="nil"/>
                  </w:tcBorders>
                  <w:shd w:val="clear" w:color="auto" w:fill="auto"/>
                  <w:vAlign w:val="center"/>
                </w:tcPr>
                <w:p w14:paraId="63C63A61">
                  <w:pPr>
                    <w:widowControl/>
                    <w:spacing w:line="240" w:lineRule="auto"/>
                    <w:ind w:firstLine="0" w:firstLineChars="0"/>
                    <w:jc w:val="center"/>
                    <w:textAlignment w:val="center"/>
                    <w:rPr>
                      <w:rFonts w:hint="default" w:ascii="Times New Roman" w:hAnsi="Times New Roman" w:eastAsia="宋体" w:cs="Times New Roman"/>
                      <w:color w:val="auto"/>
                      <w:spacing w:val="0"/>
                      <w:position w:val="0"/>
                      <w:sz w:val="21"/>
                      <w:szCs w:val="21"/>
                      <w:lang w:eastAsia="zh-CN"/>
                    </w:rPr>
                  </w:pPr>
                  <w:r>
                    <w:rPr>
                      <w:rStyle w:val="87"/>
                      <w:rFonts w:hint="default" w:ascii="Times New Roman" w:hAnsi="Times New Roman" w:cs="Times New Roman"/>
                      <w:color w:val="auto"/>
                      <w:spacing w:val="0"/>
                      <w:position w:val="0"/>
                      <w:sz w:val="21"/>
                      <w:szCs w:val="21"/>
                      <w:lang w:bidi="ar"/>
                    </w:rPr>
                    <w:t>用量</w:t>
                  </w:r>
                  <w:r>
                    <w:rPr>
                      <w:rStyle w:val="87"/>
                      <w:rFonts w:hint="default" w:ascii="Times New Roman" w:hAnsi="Times New Roman" w:cs="Times New Roman"/>
                      <w:color w:val="auto"/>
                      <w:spacing w:val="0"/>
                      <w:position w:val="0"/>
                      <w:sz w:val="21"/>
                      <w:szCs w:val="21"/>
                      <w:lang w:eastAsia="zh-CN" w:bidi="ar"/>
                    </w:rPr>
                    <w:t>（</w:t>
                  </w:r>
                  <w:r>
                    <w:rPr>
                      <w:rStyle w:val="87"/>
                      <w:rFonts w:hint="default" w:ascii="Times New Roman" w:hAnsi="Times New Roman" w:cs="Times New Roman"/>
                      <w:color w:val="auto"/>
                      <w:spacing w:val="0"/>
                      <w:position w:val="0"/>
                      <w:sz w:val="21"/>
                      <w:szCs w:val="21"/>
                      <w:lang w:bidi="ar"/>
                    </w:rPr>
                    <w:t>吨</w:t>
                  </w:r>
                  <w:r>
                    <w:rPr>
                      <w:rStyle w:val="87"/>
                      <w:rFonts w:hint="default" w:ascii="Times New Roman" w:hAnsi="Times New Roman" w:cs="Times New Roman"/>
                      <w:color w:val="auto"/>
                      <w:spacing w:val="0"/>
                      <w:position w:val="0"/>
                      <w:sz w:val="21"/>
                      <w:szCs w:val="21"/>
                      <w:lang w:eastAsia="zh-CN" w:bidi="ar"/>
                    </w:rPr>
                    <w:t>）</w:t>
                  </w:r>
                </w:p>
              </w:tc>
              <w:tc>
                <w:tcPr>
                  <w:tcW w:w="1242" w:type="pct"/>
                  <w:tcBorders>
                    <w:tl2br w:val="nil"/>
                    <w:tr2bl w:val="nil"/>
                  </w:tcBorders>
                  <w:shd w:val="clear" w:color="auto" w:fill="auto"/>
                  <w:vAlign w:val="center"/>
                </w:tcPr>
                <w:p w14:paraId="7C3348EE">
                  <w:pPr>
                    <w:widowControl/>
                    <w:spacing w:line="240" w:lineRule="auto"/>
                    <w:ind w:firstLine="0" w:firstLineChars="0"/>
                    <w:jc w:val="center"/>
                    <w:textAlignment w:val="center"/>
                    <w:rPr>
                      <w:rFonts w:hint="default" w:ascii="Times New Roman" w:hAnsi="Times New Roman" w:cs="Times New Roman"/>
                      <w:color w:val="auto"/>
                      <w:spacing w:val="0"/>
                      <w:position w:val="0"/>
                      <w:sz w:val="21"/>
                      <w:szCs w:val="21"/>
                    </w:rPr>
                  </w:pPr>
                  <w:r>
                    <w:rPr>
                      <w:rStyle w:val="87"/>
                      <w:rFonts w:hint="default" w:ascii="Times New Roman" w:hAnsi="Times New Roman" w:cs="Times New Roman"/>
                      <w:color w:val="auto"/>
                      <w:spacing w:val="0"/>
                      <w:position w:val="0"/>
                      <w:sz w:val="21"/>
                      <w:szCs w:val="21"/>
                      <w:lang w:bidi="ar"/>
                    </w:rPr>
                    <w:t>产品</w:t>
                  </w:r>
                </w:p>
              </w:tc>
              <w:tc>
                <w:tcPr>
                  <w:tcW w:w="1272" w:type="pct"/>
                  <w:tcBorders>
                    <w:tl2br w:val="nil"/>
                    <w:tr2bl w:val="nil"/>
                  </w:tcBorders>
                  <w:shd w:val="clear" w:color="auto" w:fill="auto"/>
                  <w:vAlign w:val="center"/>
                </w:tcPr>
                <w:p w14:paraId="4B455C7B">
                  <w:pPr>
                    <w:widowControl/>
                    <w:spacing w:line="240" w:lineRule="auto"/>
                    <w:ind w:firstLine="0" w:firstLineChars="0"/>
                    <w:jc w:val="center"/>
                    <w:textAlignment w:val="center"/>
                    <w:rPr>
                      <w:rFonts w:hint="default" w:ascii="Times New Roman" w:hAnsi="Times New Roman" w:eastAsia="宋体" w:cs="Times New Roman"/>
                      <w:color w:val="auto"/>
                      <w:spacing w:val="0"/>
                      <w:position w:val="0"/>
                      <w:sz w:val="21"/>
                      <w:szCs w:val="21"/>
                      <w:lang w:eastAsia="zh-CN"/>
                    </w:rPr>
                  </w:pPr>
                  <w:r>
                    <w:rPr>
                      <w:rStyle w:val="87"/>
                      <w:rFonts w:hint="default" w:ascii="Times New Roman" w:hAnsi="Times New Roman" w:cs="Times New Roman"/>
                      <w:color w:val="auto"/>
                      <w:spacing w:val="0"/>
                      <w:position w:val="0"/>
                      <w:sz w:val="21"/>
                      <w:szCs w:val="21"/>
                      <w:lang w:val="en-US" w:eastAsia="zh-CN" w:bidi="ar"/>
                    </w:rPr>
                    <w:t>产</w:t>
                  </w:r>
                  <w:r>
                    <w:rPr>
                      <w:rStyle w:val="87"/>
                      <w:rFonts w:hint="default" w:ascii="Times New Roman" w:hAnsi="Times New Roman" w:cs="Times New Roman"/>
                      <w:color w:val="auto"/>
                      <w:spacing w:val="0"/>
                      <w:position w:val="0"/>
                      <w:sz w:val="21"/>
                      <w:szCs w:val="21"/>
                      <w:lang w:bidi="ar"/>
                    </w:rPr>
                    <w:t>量</w:t>
                  </w:r>
                  <w:r>
                    <w:rPr>
                      <w:rStyle w:val="87"/>
                      <w:rFonts w:hint="default" w:ascii="Times New Roman" w:hAnsi="Times New Roman" w:cs="Times New Roman"/>
                      <w:color w:val="auto"/>
                      <w:spacing w:val="0"/>
                      <w:position w:val="0"/>
                      <w:sz w:val="21"/>
                      <w:szCs w:val="21"/>
                      <w:lang w:eastAsia="zh-CN" w:bidi="ar"/>
                    </w:rPr>
                    <w:t>（</w:t>
                  </w:r>
                  <w:r>
                    <w:rPr>
                      <w:rStyle w:val="87"/>
                      <w:rFonts w:hint="default" w:ascii="Times New Roman" w:hAnsi="Times New Roman" w:cs="Times New Roman"/>
                      <w:color w:val="auto"/>
                      <w:spacing w:val="0"/>
                      <w:position w:val="0"/>
                      <w:sz w:val="21"/>
                      <w:szCs w:val="21"/>
                      <w:lang w:bidi="ar"/>
                    </w:rPr>
                    <w:t>吨</w:t>
                  </w:r>
                  <w:r>
                    <w:rPr>
                      <w:rStyle w:val="87"/>
                      <w:rFonts w:hint="default" w:ascii="Times New Roman" w:hAnsi="Times New Roman" w:cs="Times New Roman"/>
                      <w:color w:val="auto"/>
                      <w:spacing w:val="0"/>
                      <w:position w:val="0"/>
                      <w:sz w:val="21"/>
                      <w:szCs w:val="21"/>
                      <w:lang w:eastAsia="zh-CN" w:bidi="ar"/>
                    </w:rPr>
                    <w:t>）</w:t>
                  </w:r>
                </w:p>
              </w:tc>
            </w:tr>
            <w:tr w14:paraId="20C40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 w:hRule="atLeast"/>
              </w:trPr>
              <w:tc>
                <w:tcPr>
                  <w:tcW w:w="5000" w:type="pct"/>
                  <w:gridSpan w:val="4"/>
                  <w:tcBorders>
                    <w:tl2br w:val="nil"/>
                    <w:tr2bl w:val="nil"/>
                  </w:tcBorders>
                  <w:shd w:val="clear" w:color="auto" w:fill="auto"/>
                  <w:vAlign w:val="center"/>
                </w:tcPr>
                <w:p w14:paraId="72843791">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PP、PVC管件</w:t>
                  </w:r>
                </w:p>
              </w:tc>
            </w:tr>
            <w:tr w14:paraId="09BC12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 w:hRule="atLeast"/>
              </w:trPr>
              <w:tc>
                <w:tcPr>
                  <w:tcW w:w="1230" w:type="pct"/>
                  <w:tcBorders>
                    <w:tl2br w:val="nil"/>
                    <w:tr2bl w:val="nil"/>
                  </w:tcBorders>
                  <w:shd w:val="clear" w:color="auto" w:fill="auto"/>
                  <w:vAlign w:val="center"/>
                </w:tcPr>
                <w:p w14:paraId="092642EF">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PP新料</w:t>
                  </w:r>
                </w:p>
              </w:tc>
              <w:tc>
                <w:tcPr>
                  <w:tcW w:w="1254" w:type="pct"/>
                  <w:tcBorders>
                    <w:tl2br w:val="nil"/>
                    <w:tr2bl w:val="nil"/>
                  </w:tcBorders>
                  <w:shd w:val="clear" w:color="auto" w:fill="auto"/>
                  <w:vAlign w:val="center"/>
                </w:tcPr>
                <w:p w14:paraId="17ED70EC">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1946</w:t>
                  </w:r>
                </w:p>
              </w:tc>
              <w:tc>
                <w:tcPr>
                  <w:tcW w:w="1242" w:type="pct"/>
                  <w:tcBorders>
                    <w:tl2br w:val="nil"/>
                    <w:tr2bl w:val="nil"/>
                  </w:tcBorders>
                  <w:shd w:val="clear" w:color="auto" w:fill="auto"/>
                  <w:vAlign w:val="center"/>
                </w:tcPr>
                <w:p w14:paraId="5A805266">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PP</w:t>
                  </w:r>
                  <w:r>
                    <w:rPr>
                      <w:rStyle w:val="87"/>
                      <w:rFonts w:hint="eastAsia" w:cs="Times New Roman"/>
                      <w:color w:val="auto"/>
                      <w:spacing w:val="0"/>
                      <w:position w:val="0"/>
                      <w:sz w:val="21"/>
                      <w:szCs w:val="21"/>
                      <w:lang w:val="en-US" w:eastAsia="zh-CN" w:bidi="ar"/>
                    </w:rPr>
                    <w:t>管件</w:t>
                  </w:r>
                </w:p>
              </w:tc>
              <w:tc>
                <w:tcPr>
                  <w:tcW w:w="1272" w:type="pct"/>
                  <w:tcBorders>
                    <w:tl2br w:val="nil"/>
                    <w:tr2bl w:val="nil"/>
                  </w:tcBorders>
                  <w:shd w:val="clear" w:color="auto" w:fill="auto"/>
                  <w:vAlign w:val="center"/>
                </w:tcPr>
                <w:p w14:paraId="4C6E7D04">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2000</w:t>
                  </w:r>
                </w:p>
              </w:tc>
            </w:tr>
            <w:tr w14:paraId="536D8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 w:hRule="atLeast"/>
              </w:trPr>
              <w:tc>
                <w:tcPr>
                  <w:tcW w:w="1230" w:type="pct"/>
                  <w:tcBorders>
                    <w:tl2br w:val="nil"/>
                    <w:tr2bl w:val="nil"/>
                  </w:tcBorders>
                  <w:shd w:val="clear" w:color="auto" w:fill="auto"/>
                  <w:vAlign w:val="center"/>
                </w:tcPr>
                <w:p w14:paraId="7BAA47A4">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PVC颗粒</w:t>
                  </w:r>
                </w:p>
              </w:tc>
              <w:tc>
                <w:tcPr>
                  <w:tcW w:w="1254" w:type="pct"/>
                  <w:tcBorders>
                    <w:tl2br w:val="nil"/>
                    <w:tr2bl w:val="nil"/>
                  </w:tcBorders>
                  <w:shd w:val="clear" w:color="auto" w:fill="auto"/>
                  <w:vAlign w:val="center"/>
                </w:tcPr>
                <w:p w14:paraId="55A4FB18">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972.23</w:t>
                  </w:r>
                </w:p>
              </w:tc>
              <w:tc>
                <w:tcPr>
                  <w:tcW w:w="1242" w:type="pct"/>
                  <w:tcBorders>
                    <w:tl2br w:val="nil"/>
                    <w:tr2bl w:val="nil"/>
                  </w:tcBorders>
                  <w:shd w:val="clear" w:color="auto" w:fill="auto"/>
                  <w:vAlign w:val="center"/>
                </w:tcPr>
                <w:p w14:paraId="68E78387">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PVC</w:t>
                  </w:r>
                  <w:r>
                    <w:rPr>
                      <w:rStyle w:val="87"/>
                      <w:rFonts w:hint="eastAsia" w:cs="Times New Roman"/>
                      <w:color w:val="auto"/>
                      <w:spacing w:val="0"/>
                      <w:position w:val="0"/>
                      <w:sz w:val="21"/>
                      <w:szCs w:val="21"/>
                      <w:lang w:val="en-US" w:eastAsia="zh-CN" w:bidi="ar"/>
                    </w:rPr>
                    <w:t>管件</w:t>
                  </w:r>
                </w:p>
              </w:tc>
              <w:tc>
                <w:tcPr>
                  <w:tcW w:w="1272" w:type="pct"/>
                  <w:tcBorders>
                    <w:tl2br w:val="nil"/>
                    <w:tr2bl w:val="nil"/>
                  </w:tcBorders>
                  <w:shd w:val="clear" w:color="auto" w:fill="auto"/>
                  <w:vAlign w:val="center"/>
                </w:tcPr>
                <w:p w14:paraId="72D68E5F">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1000</w:t>
                  </w:r>
                </w:p>
              </w:tc>
            </w:tr>
            <w:tr w14:paraId="0837F2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5" w:hRule="atLeast"/>
              </w:trPr>
              <w:tc>
                <w:tcPr>
                  <w:tcW w:w="1230" w:type="pct"/>
                  <w:tcBorders>
                    <w:tl2br w:val="nil"/>
                    <w:tr2bl w:val="nil"/>
                  </w:tcBorders>
                  <w:shd w:val="clear" w:color="auto" w:fill="auto"/>
                  <w:vAlign w:val="center"/>
                </w:tcPr>
                <w:p w14:paraId="759B5EA9">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色母粒</w:t>
                  </w:r>
                </w:p>
              </w:tc>
              <w:tc>
                <w:tcPr>
                  <w:tcW w:w="1254" w:type="pct"/>
                  <w:tcBorders>
                    <w:tl2br w:val="nil"/>
                    <w:tr2bl w:val="nil"/>
                  </w:tcBorders>
                  <w:shd w:val="clear" w:color="auto" w:fill="auto"/>
                  <w:vAlign w:val="center"/>
                </w:tcPr>
                <w:p w14:paraId="53227957">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24</w:t>
                  </w:r>
                </w:p>
              </w:tc>
              <w:tc>
                <w:tcPr>
                  <w:tcW w:w="1242" w:type="pct"/>
                  <w:tcBorders>
                    <w:tl2br w:val="nil"/>
                    <w:tr2bl w:val="nil"/>
                  </w:tcBorders>
                  <w:shd w:val="clear" w:color="auto" w:fill="auto"/>
                  <w:vAlign w:val="center"/>
                </w:tcPr>
                <w:p w14:paraId="24723305">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非甲烷总烃</w:t>
                  </w:r>
                </w:p>
              </w:tc>
              <w:tc>
                <w:tcPr>
                  <w:tcW w:w="1272" w:type="pct"/>
                  <w:tcBorders>
                    <w:tl2br w:val="nil"/>
                    <w:tr2bl w:val="nil"/>
                  </w:tcBorders>
                  <w:shd w:val="clear" w:color="auto" w:fill="auto"/>
                  <w:vAlign w:val="center"/>
                </w:tcPr>
                <w:p w14:paraId="5EAF17ED">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1.72974</w:t>
                  </w:r>
                </w:p>
              </w:tc>
            </w:tr>
            <w:tr w14:paraId="72252D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1230" w:type="pct"/>
                  <w:tcBorders>
                    <w:tl2br w:val="nil"/>
                    <w:tr2bl w:val="nil"/>
                  </w:tcBorders>
                  <w:shd w:val="clear" w:color="auto" w:fill="auto"/>
                  <w:vAlign w:val="center"/>
                </w:tcPr>
                <w:p w14:paraId="24D6F349">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抗氧化剂</w:t>
                  </w:r>
                </w:p>
              </w:tc>
              <w:tc>
                <w:tcPr>
                  <w:tcW w:w="1254" w:type="pct"/>
                  <w:tcBorders>
                    <w:tl2br w:val="nil"/>
                    <w:tr2bl w:val="nil"/>
                  </w:tcBorders>
                  <w:shd w:val="clear" w:color="auto" w:fill="auto"/>
                  <w:vAlign w:val="center"/>
                </w:tcPr>
                <w:p w14:paraId="503AED16">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60</w:t>
                  </w:r>
                </w:p>
              </w:tc>
              <w:tc>
                <w:tcPr>
                  <w:tcW w:w="1242" w:type="pct"/>
                  <w:tcBorders>
                    <w:tl2br w:val="nil"/>
                    <w:tr2bl w:val="nil"/>
                  </w:tcBorders>
                  <w:shd w:val="clear" w:color="auto" w:fill="auto"/>
                  <w:vAlign w:val="center"/>
                </w:tcPr>
                <w:p w14:paraId="33FACE56">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颗粒物</w:t>
                  </w:r>
                </w:p>
              </w:tc>
              <w:tc>
                <w:tcPr>
                  <w:tcW w:w="1272" w:type="pct"/>
                  <w:tcBorders>
                    <w:tl2br w:val="nil"/>
                    <w:tr2bl w:val="nil"/>
                  </w:tcBorders>
                  <w:shd w:val="clear" w:color="auto" w:fill="auto"/>
                  <w:vAlign w:val="center"/>
                </w:tcPr>
                <w:p w14:paraId="0FB82410">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0.5</w:t>
                  </w:r>
                </w:p>
              </w:tc>
            </w:tr>
            <w:tr w14:paraId="268229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1230" w:type="pct"/>
                  <w:tcBorders>
                    <w:tl2br w:val="nil"/>
                    <w:tr2bl w:val="nil"/>
                  </w:tcBorders>
                  <w:shd w:val="clear" w:color="auto" w:fill="auto"/>
                  <w:vAlign w:val="center"/>
                </w:tcPr>
                <w:p w14:paraId="41024764">
                  <w:pPr>
                    <w:widowControl/>
                    <w:spacing w:line="240" w:lineRule="auto"/>
                    <w:ind w:firstLine="0" w:firstLineChars="0"/>
                    <w:jc w:val="center"/>
                    <w:textAlignment w:val="center"/>
                    <w:rPr>
                      <w:rFonts w:hint="eastAsia"/>
                      <w:color w:val="auto"/>
                      <w:spacing w:val="0"/>
                      <w:position w:val="0"/>
                      <w:sz w:val="21"/>
                      <w:szCs w:val="21"/>
                      <w:lang w:val="en-US" w:eastAsia="zh-CN"/>
                    </w:rPr>
                  </w:pPr>
                </w:p>
              </w:tc>
              <w:tc>
                <w:tcPr>
                  <w:tcW w:w="1254" w:type="pct"/>
                  <w:tcBorders>
                    <w:tl2br w:val="nil"/>
                    <w:tr2bl w:val="nil"/>
                  </w:tcBorders>
                  <w:shd w:val="clear" w:color="auto" w:fill="auto"/>
                  <w:vAlign w:val="center"/>
                </w:tcPr>
                <w:p w14:paraId="15D61CD6">
                  <w:pPr>
                    <w:widowControl/>
                    <w:spacing w:line="240" w:lineRule="auto"/>
                    <w:ind w:firstLine="0" w:firstLineChars="0"/>
                    <w:jc w:val="center"/>
                    <w:textAlignment w:val="center"/>
                    <w:rPr>
                      <w:rFonts w:hint="eastAsia"/>
                      <w:color w:val="auto"/>
                      <w:spacing w:val="0"/>
                      <w:position w:val="0"/>
                      <w:sz w:val="21"/>
                      <w:szCs w:val="21"/>
                      <w:lang w:val="en-US" w:eastAsia="zh-CN"/>
                    </w:rPr>
                  </w:pPr>
                </w:p>
              </w:tc>
              <w:tc>
                <w:tcPr>
                  <w:tcW w:w="1242" w:type="pct"/>
                  <w:tcBorders>
                    <w:tl2br w:val="nil"/>
                    <w:tr2bl w:val="nil"/>
                  </w:tcBorders>
                  <w:shd w:val="clear" w:color="auto" w:fill="auto"/>
                  <w:vAlign w:val="center"/>
                </w:tcPr>
                <w:p w14:paraId="652AFDB8">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氯化氢</w:t>
                  </w:r>
                </w:p>
              </w:tc>
              <w:tc>
                <w:tcPr>
                  <w:tcW w:w="1272" w:type="pct"/>
                  <w:tcBorders>
                    <w:tl2br w:val="nil"/>
                    <w:tr2bl w:val="nil"/>
                  </w:tcBorders>
                  <w:shd w:val="clear" w:color="auto" w:fill="auto"/>
                  <w:vAlign w:val="center"/>
                </w:tcPr>
                <w:p w14:paraId="28EF3849">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0.0026</w:t>
                  </w:r>
                </w:p>
              </w:tc>
            </w:tr>
            <w:tr w14:paraId="6271F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 w:hRule="atLeast"/>
              </w:trPr>
              <w:tc>
                <w:tcPr>
                  <w:tcW w:w="1230" w:type="pct"/>
                  <w:tcBorders>
                    <w:tl2br w:val="nil"/>
                    <w:tr2bl w:val="nil"/>
                  </w:tcBorders>
                  <w:shd w:val="clear" w:color="auto" w:fill="auto"/>
                  <w:vAlign w:val="center"/>
                </w:tcPr>
                <w:p w14:paraId="5DB1EF76">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bidi="ar"/>
                    </w:rPr>
                    <w:t>合计</w:t>
                  </w:r>
                </w:p>
              </w:tc>
              <w:tc>
                <w:tcPr>
                  <w:tcW w:w="1254" w:type="pct"/>
                  <w:tcBorders>
                    <w:tl2br w:val="nil"/>
                    <w:tr2bl w:val="nil"/>
                  </w:tcBorders>
                  <w:shd w:val="clear" w:color="auto" w:fill="auto"/>
                  <w:vAlign w:val="center"/>
                </w:tcPr>
                <w:p w14:paraId="146F5073">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3002.23</w:t>
                  </w:r>
                </w:p>
              </w:tc>
              <w:tc>
                <w:tcPr>
                  <w:tcW w:w="1242" w:type="pct"/>
                  <w:tcBorders>
                    <w:tl2br w:val="nil"/>
                    <w:tr2bl w:val="nil"/>
                  </w:tcBorders>
                  <w:shd w:val="clear" w:color="auto" w:fill="auto"/>
                  <w:vAlign w:val="center"/>
                </w:tcPr>
                <w:p w14:paraId="5E50027C">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bidi="ar"/>
                    </w:rPr>
                    <w:t>合计</w:t>
                  </w:r>
                </w:p>
              </w:tc>
              <w:tc>
                <w:tcPr>
                  <w:tcW w:w="1272" w:type="pct"/>
                  <w:tcBorders>
                    <w:tl2br w:val="nil"/>
                    <w:tr2bl w:val="nil"/>
                  </w:tcBorders>
                  <w:shd w:val="clear" w:color="auto" w:fill="auto"/>
                  <w:vAlign w:val="center"/>
                </w:tcPr>
                <w:p w14:paraId="26183A0F">
                  <w:pPr>
                    <w:widowControl/>
                    <w:spacing w:line="240" w:lineRule="auto"/>
                    <w:ind w:firstLine="0" w:firstLineChars="0"/>
                    <w:jc w:val="center"/>
                    <w:textAlignment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3002.23</w:t>
                  </w:r>
                </w:p>
              </w:tc>
            </w:tr>
            <w:tr w14:paraId="630DD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000" w:type="pct"/>
                  <w:gridSpan w:val="4"/>
                  <w:tcBorders>
                    <w:tl2br w:val="nil"/>
                    <w:tr2bl w:val="nil"/>
                  </w:tcBorders>
                  <w:shd w:val="clear" w:color="auto" w:fill="auto"/>
                  <w:vAlign w:val="center"/>
                </w:tcPr>
                <w:p w14:paraId="2EFC2C66">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PE打包带</w:t>
                  </w:r>
                </w:p>
              </w:tc>
            </w:tr>
            <w:tr w14:paraId="355B1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 w:hRule="atLeast"/>
              </w:trPr>
              <w:tc>
                <w:tcPr>
                  <w:tcW w:w="1230" w:type="pct"/>
                  <w:tcBorders>
                    <w:tl2br w:val="nil"/>
                    <w:tr2bl w:val="nil"/>
                  </w:tcBorders>
                  <w:shd w:val="clear" w:color="auto" w:fill="auto"/>
                  <w:vAlign w:val="center"/>
                </w:tcPr>
                <w:p w14:paraId="44FAC4D6">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PE新料</w:t>
                  </w:r>
                </w:p>
              </w:tc>
              <w:tc>
                <w:tcPr>
                  <w:tcW w:w="1254" w:type="pct"/>
                  <w:tcBorders>
                    <w:tl2br w:val="nil"/>
                    <w:tr2bl w:val="nil"/>
                  </w:tcBorders>
                  <w:shd w:val="clear" w:color="auto" w:fill="auto"/>
                  <w:vAlign w:val="center"/>
                </w:tcPr>
                <w:p w14:paraId="3C367C70">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1946</w:t>
                  </w:r>
                </w:p>
              </w:tc>
              <w:tc>
                <w:tcPr>
                  <w:tcW w:w="1242" w:type="pct"/>
                  <w:tcBorders>
                    <w:tl2br w:val="nil"/>
                    <w:tr2bl w:val="nil"/>
                  </w:tcBorders>
                  <w:shd w:val="clear" w:color="auto" w:fill="auto"/>
                  <w:vAlign w:val="center"/>
                </w:tcPr>
                <w:p w14:paraId="5C4BE452">
                  <w:pPr>
                    <w:widowControl/>
                    <w:spacing w:line="240" w:lineRule="auto"/>
                    <w:ind w:firstLine="0" w:firstLineChars="0"/>
                    <w:jc w:val="center"/>
                    <w:textAlignment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PE</w:t>
                  </w:r>
                  <w:r>
                    <w:rPr>
                      <w:rStyle w:val="87"/>
                      <w:rFonts w:hint="eastAsia" w:cs="Times New Roman"/>
                      <w:color w:val="auto"/>
                      <w:spacing w:val="0"/>
                      <w:position w:val="0"/>
                      <w:sz w:val="21"/>
                      <w:szCs w:val="21"/>
                      <w:lang w:val="en-US" w:eastAsia="zh-CN" w:bidi="ar"/>
                    </w:rPr>
                    <w:t>打包带</w:t>
                  </w:r>
                </w:p>
              </w:tc>
              <w:tc>
                <w:tcPr>
                  <w:tcW w:w="1272" w:type="pct"/>
                  <w:tcBorders>
                    <w:tl2br w:val="nil"/>
                    <w:tr2bl w:val="nil"/>
                  </w:tcBorders>
                  <w:shd w:val="clear" w:color="auto" w:fill="auto"/>
                  <w:vAlign w:val="center"/>
                </w:tcPr>
                <w:p w14:paraId="6B6D3FD2">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2000</w:t>
                  </w:r>
                </w:p>
              </w:tc>
            </w:tr>
            <w:tr w14:paraId="393C6A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 w:hRule="atLeast"/>
              </w:trPr>
              <w:tc>
                <w:tcPr>
                  <w:tcW w:w="1230" w:type="pct"/>
                  <w:tcBorders>
                    <w:tl2br w:val="nil"/>
                    <w:tr2bl w:val="nil"/>
                  </w:tcBorders>
                  <w:shd w:val="clear" w:color="auto" w:fill="auto"/>
                  <w:vAlign w:val="center"/>
                </w:tcPr>
                <w:p w14:paraId="253CA46D">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色母粒</w:t>
                  </w:r>
                </w:p>
              </w:tc>
              <w:tc>
                <w:tcPr>
                  <w:tcW w:w="1254" w:type="pct"/>
                  <w:tcBorders>
                    <w:tl2br w:val="nil"/>
                    <w:tr2bl w:val="nil"/>
                  </w:tcBorders>
                  <w:shd w:val="clear" w:color="auto" w:fill="auto"/>
                  <w:vAlign w:val="center"/>
                </w:tcPr>
                <w:p w14:paraId="218B92BC">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16</w:t>
                  </w:r>
                </w:p>
              </w:tc>
              <w:tc>
                <w:tcPr>
                  <w:tcW w:w="1242" w:type="pct"/>
                  <w:tcBorders>
                    <w:tl2br w:val="nil"/>
                    <w:tr2bl w:val="nil"/>
                  </w:tcBorders>
                  <w:shd w:val="clear" w:color="auto" w:fill="auto"/>
                  <w:vAlign w:val="center"/>
                </w:tcPr>
                <w:p w14:paraId="30F9AFAA">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非甲烷总烃</w:t>
                  </w:r>
                </w:p>
              </w:tc>
              <w:tc>
                <w:tcPr>
                  <w:tcW w:w="1272" w:type="pct"/>
                  <w:tcBorders>
                    <w:tl2br w:val="nil"/>
                    <w:tr2bl w:val="nil"/>
                  </w:tcBorders>
                  <w:shd w:val="clear" w:color="auto" w:fill="auto"/>
                  <w:vAlign w:val="center"/>
                </w:tcPr>
                <w:p w14:paraId="21027394">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1.65</w:t>
                  </w:r>
                </w:p>
              </w:tc>
            </w:tr>
            <w:tr w14:paraId="7718EF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 w:hRule="atLeast"/>
              </w:trPr>
              <w:tc>
                <w:tcPr>
                  <w:tcW w:w="1230" w:type="pct"/>
                  <w:tcBorders>
                    <w:tl2br w:val="nil"/>
                    <w:tr2bl w:val="nil"/>
                  </w:tcBorders>
                  <w:shd w:val="clear" w:color="auto" w:fill="auto"/>
                  <w:vAlign w:val="center"/>
                </w:tcPr>
                <w:p w14:paraId="7736B248">
                  <w:pPr>
                    <w:spacing w:line="240" w:lineRule="auto"/>
                    <w:ind w:firstLine="0" w:firstLineChars="0"/>
                    <w:jc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抗氧化剂</w:t>
                  </w:r>
                </w:p>
              </w:tc>
              <w:tc>
                <w:tcPr>
                  <w:tcW w:w="1254" w:type="pct"/>
                  <w:tcBorders>
                    <w:tl2br w:val="nil"/>
                    <w:tr2bl w:val="nil"/>
                  </w:tcBorders>
                  <w:shd w:val="clear" w:color="auto" w:fill="auto"/>
                  <w:vAlign w:val="center"/>
                </w:tcPr>
                <w:p w14:paraId="12C0FACF">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40</w:t>
                  </w:r>
                </w:p>
              </w:tc>
              <w:tc>
                <w:tcPr>
                  <w:tcW w:w="1242" w:type="pct"/>
                  <w:tcBorders>
                    <w:tl2br w:val="nil"/>
                    <w:tr2bl w:val="nil"/>
                  </w:tcBorders>
                  <w:shd w:val="clear" w:color="auto" w:fill="auto"/>
                  <w:vAlign w:val="center"/>
                </w:tcPr>
                <w:p w14:paraId="028F1680">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val="en-US" w:eastAsia="zh-CN" w:bidi="ar"/>
                    </w:rPr>
                    <w:t>颗粒物</w:t>
                  </w:r>
                </w:p>
              </w:tc>
              <w:tc>
                <w:tcPr>
                  <w:tcW w:w="1272" w:type="pct"/>
                  <w:tcBorders>
                    <w:tl2br w:val="nil"/>
                    <w:tr2bl w:val="nil"/>
                  </w:tcBorders>
                  <w:shd w:val="clear" w:color="auto" w:fill="auto"/>
                  <w:vAlign w:val="center"/>
                </w:tcPr>
                <w:p w14:paraId="2D944E26">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0.35</w:t>
                  </w:r>
                </w:p>
              </w:tc>
            </w:tr>
            <w:tr w14:paraId="73F38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 w:hRule="atLeast"/>
              </w:trPr>
              <w:tc>
                <w:tcPr>
                  <w:tcW w:w="1230" w:type="pct"/>
                  <w:tcBorders>
                    <w:tl2br w:val="nil"/>
                    <w:tr2bl w:val="nil"/>
                  </w:tcBorders>
                  <w:shd w:val="clear" w:color="auto" w:fill="auto"/>
                  <w:vAlign w:val="center"/>
                </w:tcPr>
                <w:p w14:paraId="42089E1A">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bidi="ar"/>
                    </w:rPr>
                    <w:t>合计</w:t>
                  </w:r>
                </w:p>
              </w:tc>
              <w:tc>
                <w:tcPr>
                  <w:tcW w:w="1254" w:type="pct"/>
                  <w:tcBorders>
                    <w:tl2br w:val="nil"/>
                    <w:tr2bl w:val="nil"/>
                  </w:tcBorders>
                  <w:shd w:val="clear" w:color="auto" w:fill="auto"/>
                  <w:vAlign w:val="center"/>
                </w:tcPr>
                <w:p w14:paraId="5995F4AD">
                  <w:pPr>
                    <w:widowControl/>
                    <w:spacing w:line="240" w:lineRule="auto"/>
                    <w:ind w:firstLine="0" w:firstLineChars="0"/>
                    <w:jc w:val="center"/>
                    <w:textAlignment w:val="center"/>
                    <w:rPr>
                      <w:rFonts w:hint="default"/>
                      <w:color w:val="auto"/>
                      <w:spacing w:val="0"/>
                      <w:position w:val="0"/>
                      <w:sz w:val="21"/>
                      <w:szCs w:val="21"/>
                      <w:lang w:val="en-US" w:eastAsia="zh-CN"/>
                    </w:rPr>
                  </w:pPr>
                  <w:r>
                    <w:rPr>
                      <w:rFonts w:hint="eastAsia"/>
                      <w:color w:val="auto"/>
                      <w:spacing w:val="0"/>
                      <w:position w:val="0"/>
                      <w:sz w:val="21"/>
                      <w:szCs w:val="21"/>
                      <w:lang w:val="en-US" w:eastAsia="zh-CN"/>
                    </w:rPr>
                    <w:t>2002</w:t>
                  </w:r>
                </w:p>
              </w:tc>
              <w:tc>
                <w:tcPr>
                  <w:tcW w:w="1242" w:type="pct"/>
                  <w:tcBorders>
                    <w:tl2br w:val="nil"/>
                    <w:tr2bl w:val="nil"/>
                  </w:tcBorders>
                  <w:shd w:val="clear" w:color="auto" w:fill="auto"/>
                  <w:vAlign w:val="center"/>
                </w:tcPr>
                <w:p w14:paraId="6C872E5F">
                  <w:pPr>
                    <w:widowControl/>
                    <w:spacing w:line="240" w:lineRule="auto"/>
                    <w:ind w:firstLine="0" w:firstLineChars="0"/>
                    <w:jc w:val="center"/>
                    <w:textAlignment w:val="center"/>
                    <w:rPr>
                      <w:rFonts w:hint="eastAsia"/>
                      <w:color w:val="auto"/>
                      <w:spacing w:val="0"/>
                      <w:position w:val="0"/>
                      <w:sz w:val="21"/>
                      <w:szCs w:val="21"/>
                      <w:lang w:val="en-US" w:eastAsia="zh-CN"/>
                    </w:rPr>
                  </w:pPr>
                  <w:r>
                    <w:rPr>
                      <w:rStyle w:val="87"/>
                      <w:rFonts w:hint="default" w:ascii="Times New Roman" w:hAnsi="Times New Roman" w:cs="Times New Roman"/>
                      <w:color w:val="auto"/>
                      <w:spacing w:val="0"/>
                      <w:position w:val="0"/>
                      <w:sz w:val="21"/>
                      <w:szCs w:val="21"/>
                      <w:lang w:bidi="ar"/>
                    </w:rPr>
                    <w:t>合计</w:t>
                  </w:r>
                </w:p>
              </w:tc>
              <w:tc>
                <w:tcPr>
                  <w:tcW w:w="1272" w:type="pct"/>
                  <w:tcBorders>
                    <w:tl2br w:val="nil"/>
                    <w:tr2bl w:val="nil"/>
                  </w:tcBorders>
                  <w:shd w:val="clear" w:color="auto" w:fill="auto"/>
                  <w:vAlign w:val="center"/>
                </w:tcPr>
                <w:p w14:paraId="34F483B8">
                  <w:pPr>
                    <w:widowControl/>
                    <w:spacing w:line="240" w:lineRule="auto"/>
                    <w:ind w:firstLine="0" w:firstLineChars="0"/>
                    <w:jc w:val="center"/>
                    <w:textAlignment w:val="center"/>
                    <w:rPr>
                      <w:rFonts w:hint="eastAsia"/>
                      <w:color w:val="auto"/>
                      <w:spacing w:val="0"/>
                      <w:position w:val="0"/>
                      <w:sz w:val="21"/>
                      <w:szCs w:val="21"/>
                      <w:lang w:val="en-US" w:eastAsia="zh-CN"/>
                    </w:rPr>
                  </w:pPr>
                  <w:r>
                    <w:rPr>
                      <w:rFonts w:hint="eastAsia"/>
                      <w:color w:val="auto"/>
                      <w:spacing w:val="0"/>
                      <w:position w:val="0"/>
                      <w:sz w:val="21"/>
                      <w:szCs w:val="21"/>
                      <w:lang w:val="en-US" w:eastAsia="zh-CN"/>
                    </w:rPr>
                    <w:t>2002</w:t>
                  </w:r>
                </w:p>
              </w:tc>
            </w:tr>
            <w:tr w14:paraId="7CA3B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1230" w:type="pct"/>
                  <w:tcBorders>
                    <w:tl2br w:val="nil"/>
                    <w:tr2bl w:val="nil"/>
                  </w:tcBorders>
                  <w:shd w:val="clear" w:color="auto" w:fill="auto"/>
                  <w:vAlign w:val="center"/>
                </w:tcPr>
                <w:p w14:paraId="4519BC8B">
                  <w:pPr>
                    <w:widowControl/>
                    <w:spacing w:line="240" w:lineRule="auto"/>
                    <w:ind w:firstLine="0" w:firstLineChars="0"/>
                    <w:jc w:val="center"/>
                    <w:textAlignment w:val="center"/>
                    <w:rPr>
                      <w:rStyle w:val="87"/>
                      <w:rFonts w:hint="default" w:ascii="Times New Roman" w:hAnsi="Times New Roman" w:cs="Times New Roman"/>
                      <w:color w:val="auto"/>
                      <w:spacing w:val="0"/>
                      <w:position w:val="0"/>
                      <w:sz w:val="21"/>
                      <w:szCs w:val="21"/>
                      <w:lang w:val="en-US" w:eastAsia="zh-CN" w:bidi="ar"/>
                    </w:rPr>
                  </w:pPr>
                  <w:r>
                    <w:rPr>
                      <w:rStyle w:val="87"/>
                      <w:rFonts w:hint="eastAsia" w:cs="Times New Roman"/>
                      <w:color w:val="auto"/>
                      <w:spacing w:val="0"/>
                      <w:position w:val="0"/>
                      <w:sz w:val="21"/>
                      <w:szCs w:val="21"/>
                      <w:lang w:val="en-US" w:eastAsia="zh-CN" w:bidi="ar"/>
                    </w:rPr>
                    <w:t>总</w:t>
                  </w:r>
                  <w:r>
                    <w:rPr>
                      <w:rStyle w:val="87"/>
                      <w:rFonts w:hint="default" w:ascii="Times New Roman" w:hAnsi="Times New Roman" w:cs="Times New Roman"/>
                      <w:color w:val="auto"/>
                      <w:spacing w:val="0"/>
                      <w:position w:val="0"/>
                      <w:sz w:val="21"/>
                      <w:szCs w:val="21"/>
                      <w:lang w:bidi="ar"/>
                    </w:rPr>
                    <w:t>计</w:t>
                  </w:r>
                </w:p>
              </w:tc>
              <w:tc>
                <w:tcPr>
                  <w:tcW w:w="1254" w:type="pct"/>
                  <w:tcBorders>
                    <w:tl2br w:val="nil"/>
                    <w:tr2bl w:val="nil"/>
                  </w:tcBorders>
                  <w:shd w:val="clear" w:color="auto" w:fill="auto"/>
                  <w:vAlign w:val="center"/>
                </w:tcPr>
                <w:p w14:paraId="3642130E">
                  <w:pPr>
                    <w:widowControl/>
                    <w:spacing w:line="240" w:lineRule="auto"/>
                    <w:ind w:firstLine="0" w:firstLineChars="0"/>
                    <w:jc w:val="center"/>
                    <w:textAlignment w:val="center"/>
                    <w:rPr>
                      <w:rStyle w:val="87"/>
                      <w:rFonts w:hint="default" w:ascii="Times New Roman" w:hAnsi="Times New Roman" w:eastAsia="宋体" w:cs="Times New Roman"/>
                      <w:color w:val="auto"/>
                      <w:spacing w:val="0"/>
                      <w:position w:val="0"/>
                      <w:sz w:val="21"/>
                      <w:szCs w:val="21"/>
                      <w:lang w:val="en-US" w:eastAsia="zh-CN" w:bidi="ar"/>
                    </w:rPr>
                  </w:pPr>
                  <w:r>
                    <w:rPr>
                      <w:rFonts w:hint="default" w:ascii="Times New Roman" w:hAnsi="Times New Roman" w:cs="Times New Roman"/>
                      <w:color w:val="auto"/>
                      <w:spacing w:val="0"/>
                      <w:kern w:val="0"/>
                      <w:position w:val="0"/>
                      <w:sz w:val="21"/>
                      <w:szCs w:val="21"/>
                      <w:lang w:val="en-US" w:eastAsia="zh-CN" w:bidi="ar"/>
                    </w:rPr>
                    <w:t>5004.</w:t>
                  </w:r>
                  <w:r>
                    <w:rPr>
                      <w:rFonts w:hint="eastAsia" w:cs="Times New Roman"/>
                      <w:color w:val="auto"/>
                      <w:spacing w:val="0"/>
                      <w:kern w:val="0"/>
                      <w:position w:val="0"/>
                      <w:sz w:val="21"/>
                      <w:szCs w:val="21"/>
                      <w:lang w:val="en-US" w:eastAsia="zh-CN" w:bidi="ar"/>
                    </w:rPr>
                    <w:t>23</w:t>
                  </w:r>
                </w:p>
              </w:tc>
              <w:tc>
                <w:tcPr>
                  <w:tcW w:w="1242" w:type="pct"/>
                  <w:tcBorders>
                    <w:tl2br w:val="nil"/>
                    <w:tr2bl w:val="nil"/>
                  </w:tcBorders>
                  <w:shd w:val="clear" w:color="auto" w:fill="auto"/>
                  <w:vAlign w:val="center"/>
                </w:tcPr>
                <w:p w14:paraId="5DCC3D3C">
                  <w:pPr>
                    <w:widowControl/>
                    <w:spacing w:line="240" w:lineRule="auto"/>
                    <w:ind w:firstLine="0" w:firstLineChars="0"/>
                    <w:jc w:val="center"/>
                    <w:textAlignment w:val="center"/>
                    <w:rPr>
                      <w:rStyle w:val="87"/>
                      <w:rFonts w:hint="default" w:ascii="Times New Roman" w:hAnsi="Times New Roman" w:cs="Times New Roman"/>
                      <w:color w:val="auto"/>
                      <w:spacing w:val="0"/>
                      <w:position w:val="0"/>
                      <w:sz w:val="21"/>
                      <w:szCs w:val="21"/>
                      <w:lang w:val="en-US" w:eastAsia="zh-CN" w:bidi="ar"/>
                    </w:rPr>
                  </w:pPr>
                  <w:r>
                    <w:rPr>
                      <w:rStyle w:val="87"/>
                      <w:rFonts w:hint="eastAsia" w:cs="Times New Roman"/>
                      <w:color w:val="auto"/>
                      <w:spacing w:val="0"/>
                      <w:position w:val="0"/>
                      <w:sz w:val="21"/>
                      <w:szCs w:val="21"/>
                      <w:lang w:val="en-US" w:eastAsia="zh-CN" w:bidi="ar"/>
                    </w:rPr>
                    <w:t>总</w:t>
                  </w:r>
                  <w:r>
                    <w:rPr>
                      <w:rStyle w:val="87"/>
                      <w:rFonts w:hint="default" w:ascii="Times New Roman" w:hAnsi="Times New Roman" w:cs="Times New Roman"/>
                      <w:color w:val="auto"/>
                      <w:spacing w:val="0"/>
                      <w:position w:val="0"/>
                      <w:sz w:val="21"/>
                      <w:szCs w:val="21"/>
                      <w:lang w:bidi="ar"/>
                    </w:rPr>
                    <w:t>计</w:t>
                  </w:r>
                </w:p>
              </w:tc>
              <w:tc>
                <w:tcPr>
                  <w:tcW w:w="1272" w:type="pct"/>
                  <w:tcBorders>
                    <w:tl2br w:val="nil"/>
                    <w:tr2bl w:val="nil"/>
                  </w:tcBorders>
                  <w:shd w:val="clear" w:color="auto" w:fill="auto"/>
                  <w:vAlign w:val="center"/>
                </w:tcPr>
                <w:p w14:paraId="201B91AD">
                  <w:pPr>
                    <w:widowControl/>
                    <w:spacing w:line="240" w:lineRule="auto"/>
                    <w:ind w:firstLine="0" w:firstLineChars="0"/>
                    <w:jc w:val="center"/>
                    <w:textAlignment w:val="center"/>
                    <w:rPr>
                      <w:rStyle w:val="87"/>
                      <w:rFonts w:hint="default" w:ascii="Times New Roman" w:hAnsi="Times New Roman" w:cs="Times New Roman"/>
                      <w:color w:val="auto"/>
                      <w:spacing w:val="0"/>
                      <w:position w:val="0"/>
                      <w:sz w:val="21"/>
                      <w:szCs w:val="21"/>
                      <w:lang w:val="en-US" w:eastAsia="zh-CN" w:bidi="ar"/>
                    </w:rPr>
                  </w:pPr>
                  <w:r>
                    <w:rPr>
                      <w:rFonts w:hint="default" w:ascii="Times New Roman" w:hAnsi="Times New Roman" w:cs="Times New Roman"/>
                      <w:color w:val="auto"/>
                      <w:spacing w:val="0"/>
                      <w:kern w:val="0"/>
                      <w:position w:val="0"/>
                      <w:sz w:val="21"/>
                      <w:szCs w:val="21"/>
                      <w:lang w:val="en-US" w:eastAsia="zh-CN" w:bidi="ar"/>
                    </w:rPr>
                    <w:t>5004.</w:t>
                  </w:r>
                  <w:r>
                    <w:rPr>
                      <w:rFonts w:hint="eastAsia" w:cs="Times New Roman"/>
                      <w:color w:val="auto"/>
                      <w:spacing w:val="0"/>
                      <w:kern w:val="0"/>
                      <w:position w:val="0"/>
                      <w:sz w:val="21"/>
                      <w:szCs w:val="21"/>
                      <w:lang w:val="en-US" w:eastAsia="zh-CN" w:bidi="ar"/>
                    </w:rPr>
                    <w:t>23</w:t>
                  </w:r>
                </w:p>
              </w:tc>
            </w:tr>
          </w:tbl>
          <w:p w14:paraId="5BFC937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80768" behindDoc="0" locked="0" layoutInCell="1" allowOverlap="1">
                      <wp:simplePos x="0" y="0"/>
                      <wp:positionH relativeFrom="column">
                        <wp:posOffset>4465320</wp:posOffset>
                      </wp:positionH>
                      <wp:positionV relativeFrom="paragraph">
                        <wp:posOffset>66040</wp:posOffset>
                      </wp:positionV>
                      <wp:extent cx="669290" cy="257175"/>
                      <wp:effectExtent l="12700" t="12700" r="22860" b="15875"/>
                      <wp:wrapNone/>
                      <wp:docPr id="40" name="矩形 40"/>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1AA99F8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5.2pt;height:20.25pt;width:52.7pt;z-index:251680768;v-text-anchor:middle;mso-width-relative:page;mso-height-relative:page;" filled="f" stroked="t" coordsize="21600,21600" o:gfxdata="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3JxJrUAAAACQEAAA8AAAAAAAAAAQAgAAAAIgAAAGRycy9kb3ducmV2LnhtbFBLAQIUABQAAAAI&#10;AIdO4kDuNS3mYwIAAMAEAAAOAAAAAAAAAAEAIAAAACMBAABkcnMvZTJvRG9jLnhtbFBLBQYAAAAA&#10;BgAGAFkBAAD4BQAAAAA=&#10;">
                      <v:fill on="f" focussize="0,0"/>
                      <v:stroke weight="2pt" color="#4F81BD [3204]" joinstyle="round"/>
                      <v:imagedata o:title=""/>
                      <o:lock v:ext="edit" aspectratio="f"/>
                      <v:textbox>
                        <w:txbxContent>
                          <w:p w14:paraId="1AA99F8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2000</w:t>
                            </w:r>
                          </w:p>
                        </w:txbxContent>
                      </v:textbox>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1036320</wp:posOffset>
                      </wp:positionH>
                      <wp:positionV relativeFrom="paragraph">
                        <wp:posOffset>161290</wp:posOffset>
                      </wp:positionV>
                      <wp:extent cx="669290" cy="257175"/>
                      <wp:effectExtent l="12700" t="12700" r="22860" b="15875"/>
                      <wp:wrapNone/>
                      <wp:docPr id="20" name="矩形 20"/>
                      <wp:cNvGraphicFramePr/>
                      <a:graphic xmlns:a="http://schemas.openxmlformats.org/drawingml/2006/main">
                        <a:graphicData uri="http://schemas.microsoft.com/office/word/2010/wordprocessingShape">
                          <wps:wsp>
                            <wps:cNvSpPr/>
                            <wps:spPr>
                              <a:xfrm>
                                <a:off x="1595120" y="7831455"/>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542C9E0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PP新料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6pt;margin-top:12.7pt;height:20.25pt;width:52.7pt;z-index:251664384;v-text-anchor:middle;mso-width-relative:page;mso-height-relative:page;" filled="f" stroked="t" coordsize="21600,21600" o:gfxdata="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qwbs/VAAAACQEAAA8AAAAAAAAAAQAgAAAAIgAAAGRycy9kb3ducmV2&#10;LnhtbFBLAQIUABQAAAAIAIdO4kBJCZ6AcQIAAMwEAAAOAAAAAAAAAAEAIAAAACQBAABkcnMvZTJv&#10;RG9jLnhtbFBLBQYAAAAABgAGAFkBAAAHBgAAAAA=&#10;">
                      <v:fill on="f" focussize="0,0"/>
                      <v:stroke weight="2pt" color="#4F81BD [3204]" joinstyle="round"/>
                      <v:imagedata o:title=""/>
                      <o:lock v:ext="edit" aspectratio="f"/>
                      <v:textbox>
                        <w:txbxContent>
                          <w:p w14:paraId="542C9E0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PP新料</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3741420</wp:posOffset>
                      </wp:positionH>
                      <wp:positionV relativeFrom="paragraph">
                        <wp:posOffset>66040</wp:posOffset>
                      </wp:positionV>
                      <wp:extent cx="669290" cy="257175"/>
                      <wp:effectExtent l="12700" t="12700" r="22860" b="15875"/>
                      <wp:wrapNone/>
                      <wp:docPr id="30" name="矩形 30"/>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DE9AB0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PP</w:t>
                                  </w:r>
                                  <w:r>
                                    <w:rPr>
                                      <w:rStyle w:val="87"/>
                                      <w:rFonts w:hint="eastAsia" w:cs="Times New Roman"/>
                                      <w:color w:val="auto"/>
                                      <w:spacing w:val="0"/>
                                      <w:position w:val="0"/>
                                      <w:sz w:val="18"/>
                                      <w:szCs w:val="18"/>
                                      <w:lang w:val="en-US" w:eastAsia="zh-CN" w:bidi="ar"/>
                                    </w:rPr>
                                    <w:t>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6pt;margin-top:5.2pt;height:20.25pt;width:52.7pt;z-index:251671552;v-text-anchor:middle;mso-width-relative:page;mso-height-relative:page;" filled="f" stroked="t" coordsize="21600,21600" o:gfxdata="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Fy099UAAAAJAQAADwAAAAAAAAABACAAAAAiAAAAZHJzL2Rvd25yZXYueG1sUEsBAhQAFAAA&#10;AAgAh07iQEYmoJ1kAgAAwAQAAA4AAAAAAAAAAQAgAAAAJAEAAGRycy9lMm9Eb2MueG1sUEsFBgAA&#10;AAAGAAYAWQEAAPoFAAAAAA==&#10;">
                      <v:fill on="f" focussize="0,0"/>
                      <v:stroke weight="2pt" color="#4F81BD [3204]" joinstyle="round"/>
                      <v:imagedata o:title=""/>
                      <o:lock v:ext="edit" aspectratio="f"/>
                      <v:textbox>
                        <w:txbxContent>
                          <w:p w14:paraId="4DE9AB0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PP</w:t>
                            </w:r>
                            <w:r>
                              <w:rPr>
                                <w:rStyle w:val="87"/>
                                <w:rFonts w:hint="eastAsia" w:cs="Times New Roman"/>
                                <w:color w:val="auto"/>
                                <w:spacing w:val="0"/>
                                <w:position w:val="0"/>
                                <w:sz w:val="18"/>
                                <w:szCs w:val="18"/>
                                <w:lang w:val="en-US" w:eastAsia="zh-CN" w:bidi="ar"/>
                              </w:rPr>
                              <w:t>管件</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1779270</wp:posOffset>
                      </wp:positionH>
                      <wp:positionV relativeFrom="paragraph">
                        <wp:posOffset>151765</wp:posOffset>
                      </wp:positionV>
                      <wp:extent cx="669290" cy="257175"/>
                      <wp:effectExtent l="12700" t="12700" r="22860" b="15875"/>
                      <wp:wrapNone/>
                      <wp:docPr id="32" name="矩形 32"/>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6E48102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1946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1pt;margin-top:11.95pt;height:20.25pt;width:52.7pt;z-index:251673600;v-text-anchor:middle;mso-width-relative:page;mso-height-relative:page;" filled="f" stroked="t" coordsize="21600,21600" o:gfxdata="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o1rq1gAAAAkBAAAPAAAAAAAAAAEAIAAAACIAAABkcnMvZG93bnJldi54bWxQSwECFAAU&#10;AAAACACHTuJAGpLdjmUCAADABAAADgAAAAAAAAABACAAAAAlAQAAZHJzL2Uyb0RvYy54bWxQSwUG&#10;AAAAAAYABgBZAQAA/AUAAAAA&#10;">
                      <v:fill on="f" focussize="0,0"/>
                      <v:stroke weight="2pt" color="#4F81BD [3204]" joinstyle="round"/>
                      <v:imagedata o:title=""/>
                      <o:lock v:ext="edit" aspectratio="f"/>
                      <v:textbox>
                        <w:txbxContent>
                          <w:p w14:paraId="6E48102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1946</w:t>
                            </w:r>
                          </w:p>
                        </w:txbxContent>
                      </v:textbox>
                    </v:rect>
                  </w:pict>
                </mc:Fallback>
              </mc:AlternateContent>
            </w:r>
          </w:p>
          <w:p w14:paraId="340DEDCD">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72576" behindDoc="0" locked="0" layoutInCell="1" allowOverlap="1">
                      <wp:simplePos x="0" y="0"/>
                      <wp:positionH relativeFrom="column">
                        <wp:posOffset>3694430</wp:posOffset>
                      </wp:positionH>
                      <wp:positionV relativeFrom="paragraph">
                        <wp:posOffset>73660</wp:posOffset>
                      </wp:positionV>
                      <wp:extent cx="716280" cy="257175"/>
                      <wp:effectExtent l="12700" t="12700" r="13970" b="15875"/>
                      <wp:wrapNone/>
                      <wp:docPr id="31" name="矩形 31"/>
                      <wp:cNvGraphicFramePr/>
                      <a:graphic xmlns:a="http://schemas.openxmlformats.org/drawingml/2006/main">
                        <a:graphicData uri="http://schemas.microsoft.com/office/word/2010/wordprocessingShape">
                          <wps:wsp>
                            <wps:cNvSpPr/>
                            <wps:spPr>
                              <a:xfrm>
                                <a:off x="0" y="0"/>
                                <a:ext cx="71628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352CE09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w:t>
                                  </w:r>
                                  <w:r>
                                    <w:rPr>
                                      <w:rStyle w:val="87"/>
                                      <w:rFonts w:hint="eastAsia" w:ascii="Times New Roman" w:hAnsi="Times New Roman" w:cs="Times New Roman"/>
                                      <w:color w:val="auto"/>
                                      <w:spacing w:val="0"/>
                                      <w:position w:val="0"/>
                                      <w:sz w:val="18"/>
                                      <w:szCs w:val="18"/>
                                      <w:lang w:val="en-US" w:eastAsia="zh-CN" w:bidi="ar"/>
                                    </w:rPr>
                                    <w:t>VC</w:t>
                                  </w:r>
                                  <w:r>
                                    <w:rPr>
                                      <w:rStyle w:val="87"/>
                                      <w:rFonts w:hint="eastAsia" w:cs="Times New Roman"/>
                                      <w:color w:val="auto"/>
                                      <w:spacing w:val="0"/>
                                      <w:position w:val="0"/>
                                      <w:sz w:val="18"/>
                                      <w:szCs w:val="18"/>
                                      <w:lang w:val="en-US" w:eastAsia="zh-CN" w:bidi="ar"/>
                                    </w:rPr>
                                    <w:t>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9pt;margin-top:5.8pt;height:20.25pt;width:56.4pt;z-index:251672576;v-text-anchor:middle;mso-width-relative:page;mso-height-relative:page;" filled="f" stroked="t" coordsize="21600,21600" o:gfxdata="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drPYfVAAAACQEAAA8AAAAAAAAAAQAgAAAAIgAAAGRycy9kb3ducmV2LnhtbFBLAQIUABQA&#10;AAAIAIdO4kC5ccVZZQIAAMAEAAAOAAAAAAAAAAEAIAAAACQBAABkcnMvZTJvRG9jLnhtbFBLBQYA&#10;AAAABgAGAFkBAAD7BQAAAAA=&#10;">
                      <v:fill on="f" focussize="0,0"/>
                      <v:stroke weight="2pt" color="#4F81BD [3204]" joinstyle="round"/>
                      <v:imagedata o:title=""/>
                      <o:lock v:ext="edit" aspectratio="f"/>
                      <v:textbox>
                        <w:txbxContent>
                          <w:p w14:paraId="352CE09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w:t>
                            </w:r>
                            <w:r>
                              <w:rPr>
                                <w:rStyle w:val="87"/>
                                <w:rFonts w:hint="eastAsia" w:ascii="Times New Roman" w:hAnsi="Times New Roman" w:cs="Times New Roman"/>
                                <w:color w:val="auto"/>
                                <w:spacing w:val="0"/>
                                <w:position w:val="0"/>
                                <w:sz w:val="18"/>
                                <w:szCs w:val="18"/>
                                <w:lang w:val="en-US" w:eastAsia="zh-CN" w:bidi="ar"/>
                              </w:rPr>
                              <w:t>VC</w:t>
                            </w:r>
                            <w:r>
                              <w:rPr>
                                <w:rStyle w:val="87"/>
                                <w:rFonts w:hint="eastAsia" w:cs="Times New Roman"/>
                                <w:color w:val="auto"/>
                                <w:spacing w:val="0"/>
                                <w:position w:val="0"/>
                                <w:sz w:val="18"/>
                                <w:szCs w:val="18"/>
                                <w:lang w:val="en-US" w:eastAsia="zh-CN" w:bidi="ar"/>
                              </w:rPr>
                              <w:t>管件</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4465320</wp:posOffset>
                      </wp:positionH>
                      <wp:positionV relativeFrom="paragraph">
                        <wp:posOffset>83185</wp:posOffset>
                      </wp:positionV>
                      <wp:extent cx="669290" cy="257175"/>
                      <wp:effectExtent l="12700" t="12700" r="22860" b="15875"/>
                      <wp:wrapNone/>
                      <wp:docPr id="41" name="矩形 41"/>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0FD28A9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6.55pt;height:20.25pt;width:52.7pt;z-index:251681792;v-text-anchor:middle;mso-width-relative:page;mso-height-relative:page;" filled="f" stroked="t" coordsize="21600,21600" o:gfxdata="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obOB1AAAAAkBAAAPAAAAAAAAAAEAIAAAACIAAABkcnMvZG93bnJldi54bWxQSwECFAAUAAAA&#10;CACHTuJAwO+T72QCAADABAAADgAAAAAAAAABACAAAAAjAQAAZHJzL2Uyb0RvYy54bWxQSwUGAAAA&#10;AAYABgBZAQAA+QUAAAAA&#10;">
                      <v:fill on="f" focussize="0,0"/>
                      <v:stroke weight="2pt" color="#4F81BD [3204]" joinstyle="round"/>
                      <v:imagedata o:title=""/>
                      <o:lock v:ext="edit" aspectratio="f"/>
                      <v:textbox>
                        <w:txbxContent>
                          <w:p w14:paraId="0FD28A9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1000</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1769745</wp:posOffset>
                      </wp:positionH>
                      <wp:positionV relativeFrom="paragraph">
                        <wp:posOffset>159385</wp:posOffset>
                      </wp:positionV>
                      <wp:extent cx="669290" cy="257175"/>
                      <wp:effectExtent l="12700" t="12700" r="22860" b="15875"/>
                      <wp:wrapNone/>
                      <wp:docPr id="33" name="矩形 33"/>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5BF5C9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972.23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35pt;margin-top:12.55pt;height:20.25pt;width:52.7pt;z-index:251674624;v-text-anchor:middle;mso-width-relative:page;mso-height-relative:page;" filled="f" stroked="t" coordsize="21600,21600" o:gfxdata="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t2Rp7VAAAACQEAAA8AAAAAAAAAAQAgAAAAIgAAAGRycy9kb3ducmV2LnhtbFBLAQIUABQA&#10;AAAIAIdO4kA0SGOHZQIAAMAEAAAOAAAAAAAAAAEAIAAAACQBAABkcnMvZTJvRG9jLnhtbFBLBQYA&#10;AAAABgAGAFkBAAD7BQAAAAA=&#10;">
                      <v:fill on="f" focussize="0,0"/>
                      <v:stroke weight="2pt" color="#4F81BD [3204]" joinstyle="round"/>
                      <v:imagedata o:title=""/>
                      <o:lock v:ext="edit" aspectratio="f"/>
                      <v:textbox>
                        <w:txbxContent>
                          <w:p w14:paraId="45BF5C9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972.23</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1026795</wp:posOffset>
                      </wp:positionH>
                      <wp:positionV relativeFrom="paragraph">
                        <wp:posOffset>149860</wp:posOffset>
                      </wp:positionV>
                      <wp:extent cx="669290" cy="257175"/>
                      <wp:effectExtent l="12700" t="12700" r="22860" b="15875"/>
                      <wp:wrapNone/>
                      <wp:docPr id="24" name="矩形 24"/>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242D938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PVC颗</w:t>
                                  </w:r>
                                  <w:r>
                                    <w:rPr>
                                      <w:rStyle w:val="87"/>
                                      <w:rFonts w:hint="default" w:ascii="Times New Roman" w:hAnsi="Times New Roman" w:cs="Times New Roman"/>
                                      <w:color w:val="auto"/>
                                      <w:spacing w:val="0"/>
                                      <w:position w:val="0"/>
                                      <w:sz w:val="21"/>
                                      <w:szCs w:val="21"/>
                                      <w:lang w:val="en-US" w:eastAsia="zh-CN" w:bidi="ar"/>
                                    </w:rPr>
                                    <w:t>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1.8pt;height:20.25pt;width:52.7pt;z-index:251666432;v-text-anchor:middle;mso-width-relative:page;mso-height-relative:page;" filled="f" stroked="t" coordsize="21600,21600" o:gfxdata="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lVwj1AAAAAkBAAAPAAAAAAAAAAEAIAAAACIAAABkcnMvZG93bnJldi54bWxQSwECFAAUAAAA&#10;CACHTuJA6/2EZ2QCAADABAAADgAAAAAAAAABACAAAAAjAQAAZHJzL2Uyb0RvYy54bWxQSwUGAAAA&#10;AAYABgBZAQAA+QUAAAAA&#10;">
                      <v:fill on="f" focussize="0,0"/>
                      <v:stroke weight="2pt" color="#4F81BD [3204]" joinstyle="round"/>
                      <v:imagedata o:title=""/>
                      <o:lock v:ext="edit" aspectratio="f"/>
                      <v:textbox>
                        <w:txbxContent>
                          <w:p w14:paraId="242D938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PVC颗</w:t>
                            </w:r>
                            <w:r>
                              <w:rPr>
                                <w:rStyle w:val="87"/>
                                <w:rFonts w:hint="default" w:ascii="Times New Roman" w:hAnsi="Times New Roman" w:cs="Times New Roman"/>
                                <w:color w:val="auto"/>
                                <w:spacing w:val="0"/>
                                <w:position w:val="0"/>
                                <w:sz w:val="21"/>
                                <w:szCs w:val="21"/>
                                <w:lang w:val="en-US" w:eastAsia="zh-CN" w:bidi="ar"/>
                              </w:rPr>
                              <w:t>粒</w:t>
                            </w:r>
                          </w:p>
                        </w:txbxContent>
                      </v:textbox>
                    </v:rect>
                  </w:pict>
                </mc:Fallback>
              </mc:AlternateContent>
            </w:r>
          </w:p>
          <w:p w14:paraId="080F138B">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65408" behindDoc="0" locked="0" layoutInCell="1" allowOverlap="1">
                      <wp:simplePos x="0" y="0"/>
                      <wp:positionH relativeFrom="column">
                        <wp:posOffset>302895</wp:posOffset>
                      </wp:positionH>
                      <wp:positionV relativeFrom="paragraph">
                        <wp:posOffset>34290</wp:posOffset>
                      </wp:positionV>
                      <wp:extent cx="669290" cy="408940"/>
                      <wp:effectExtent l="12700" t="12700" r="22860" b="16510"/>
                      <wp:wrapNone/>
                      <wp:docPr id="22" name="矩形 22"/>
                      <wp:cNvGraphicFramePr/>
                      <a:graphic xmlns:a="http://schemas.openxmlformats.org/drawingml/2006/main">
                        <a:graphicData uri="http://schemas.microsoft.com/office/word/2010/wordprocessingShape">
                          <wps:wsp>
                            <wps:cNvSpPr/>
                            <wps:spPr>
                              <a:xfrm>
                                <a:off x="0" y="0"/>
                                <a:ext cx="669290" cy="408940"/>
                              </a:xfrm>
                              <a:prstGeom prst="rect">
                                <a:avLst/>
                              </a:prstGeom>
                            </wps:spPr>
                            <wps:style>
                              <a:lnRef idx="2">
                                <a:schemeClr val="accent1"/>
                              </a:lnRef>
                              <a:fillRef idx="0">
                                <a:srgbClr val="FFFFFF"/>
                              </a:fillRef>
                              <a:effectRef idx="0">
                                <a:srgbClr val="FFFFFF"/>
                              </a:effectRef>
                              <a:fontRef idx="minor">
                                <a:schemeClr val="tx1"/>
                              </a:fontRef>
                            </wps:style>
                            <wps:txbx>
                              <w:txbxContent>
                                <w:p w14:paraId="1C5FB7D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投入总量</w:t>
                                  </w:r>
                                </w:p>
                                <w:p w14:paraId="15D11852">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3002.23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5pt;margin-top:2.7pt;height:32.2pt;width:52.7pt;z-index:251665408;v-text-anchor:middle;mso-width-relative:page;mso-height-relative:page;" filled="f" stroked="t" coordsize="21600,21600" o:gfxdata="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DmKrdQAAAAHAQAADwAAAAAAAAABACAAAAAiAAAAZHJzL2Rvd25yZXYueG1sUEsBAhQAFAAA&#10;AAgAh07iQAcjfYNlAgAAwAQAAA4AAAAAAAAAAQAgAAAAIwEAAGRycy9lMm9Eb2MueG1sUEsFBgAA&#10;AAAGAAYAWQEAAPoFAAAAAA==&#10;">
                      <v:fill on="f" focussize="0,0"/>
                      <v:stroke weight="2pt" color="#4F81BD [3204]" joinstyle="round"/>
                      <v:imagedata o:title=""/>
                      <o:lock v:ext="edit" aspectratio="f"/>
                      <v:textbox>
                        <w:txbxContent>
                          <w:p w14:paraId="1C5FB7D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投入总量</w:t>
                            </w:r>
                          </w:p>
                          <w:p w14:paraId="15D11852">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3002.23</w:t>
                            </w:r>
                          </w:p>
                        </w:txbxContent>
                      </v:textbox>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3627755</wp:posOffset>
                      </wp:positionH>
                      <wp:positionV relativeFrom="paragraph">
                        <wp:posOffset>91440</wp:posOffset>
                      </wp:positionV>
                      <wp:extent cx="821055" cy="257175"/>
                      <wp:effectExtent l="12700" t="12700" r="23495" b="15875"/>
                      <wp:wrapNone/>
                      <wp:docPr id="37" name="矩形 37"/>
                      <wp:cNvGraphicFramePr/>
                      <a:graphic xmlns:a="http://schemas.openxmlformats.org/drawingml/2006/main">
                        <a:graphicData uri="http://schemas.microsoft.com/office/word/2010/wordprocessingShape">
                          <wps:wsp>
                            <wps:cNvSpPr/>
                            <wps:spPr>
                              <a:xfrm>
                                <a:off x="0" y="0"/>
                                <a:ext cx="821055"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E5F3EA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非甲烷总烃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65pt;margin-top:7.2pt;height:20.25pt;width:64.65pt;z-index:251677696;v-text-anchor:middle;mso-width-relative:page;mso-height-relative:page;" filled="f" stroked="t" coordsize="21600,21600" o:gfxdata="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OXC/rUAAAACQEAAA8AAAAAAAAAAQAgAAAAIgAAAGRycy9kb3ducmV2LnhtbFBLAQIUABQA&#10;AAAIAIdO4kB8HwDwZgIAAMAEAAAOAAAAAAAAAAEAIAAAACMBAABkcnMvZTJvRG9jLnhtbFBLBQYA&#10;AAAABgAGAFkBAAD7BQAAAAA=&#10;">
                      <v:fill on="f" focussize="0,0"/>
                      <v:stroke weight="2pt" color="#4F81BD [3204]" joinstyle="round"/>
                      <v:imagedata o:title=""/>
                      <o:lock v:ext="edit" aspectratio="f"/>
                      <v:textbox>
                        <w:txbxContent>
                          <w:p w14:paraId="4E5F3EA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非甲烷总烃</w:t>
                            </w:r>
                          </w:p>
                        </w:txbxContent>
                      </v:textbox>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4465320</wp:posOffset>
                      </wp:positionH>
                      <wp:positionV relativeFrom="paragraph">
                        <wp:posOffset>100965</wp:posOffset>
                      </wp:positionV>
                      <wp:extent cx="669290" cy="257175"/>
                      <wp:effectExtent l="12700" t="12700" r="22860" b="15875"/>
                      <wp:wrapNone/>
                      <wp:docPr id="42" name="矩形 42"/>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31B32E8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1.72974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7.95pt;height:20.25pt;width:52.7pt;z-index:251682816;v-text-anchor:middle;mso-width-relative:page;mso-height-relative:page;" filled="f" stroked="t" coordsize="21600,21600" o:gfxdata="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7jvGtUAAAAJAQAADwAAAAAAAAABACAAAAAiAAAAZHJzL2Rvd25yZXYueG1sUEsBAhQAFAAA&#10;AAgAh07iQLKBUPVkAgAAwAQAAA4AAAAAAAAAAQAgAAAAJAEAAGRycy9lMm9Eb2MueG1sUEsFBgAA&#10;AAAGAAYAWQEAAPoFAAAAAA==&#10;">
                      <v:fill on="f" focussize="0,0"/>
                      <v:stroke weight="2pt" color="#4F81BD [3204]" joinstyle="round"/>
                      <v:imagedata o:title=""/>
                      <o:lock v:ext="edit" aspectratio="f"/>
                      <v:textbox>
                        <w:txbxContent>
                          <w:p w14:paraId="31B32E8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1.72974</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1760220</wp:posOffset>
                      </wp:positionH>
                      <wp:positionV relativeFrom="paragraph">
                        <wp:posOffset>158115</wp:posOffset>
                      </wp:positionV>
                      <wp:extent cx="669290" cy="257175"/>
                      <wp:effectExtent l="12700" t="12700" r="22860" b="15875"/>
                      <wp:wrapNone/>
                      <wp:docPr id="34" name="矩形 34"/>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54B128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pt;margin-top:12.45pt;height:20.25pt;width:52.7pt;z-index:251675648;v-text-anchor:middle;mso-width-relative:page;mso-height-relative:page;" filled="f" stroked="t" coordsize="21600,21600" o:gfxdata="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Iw6WP1gAAAAkBAAAPAAAAAAAAAAEAIAAAACIAAABkcnMvZG93bnJldi54bWxQSwECFAAU&#10;AAAACACHTuJA/k5bu2UCAADABAAADgAAAAAAAAABACAAAAAlAQAAZHJzL2Uyb0RvYy54bWxQSwUG&#10;AAAAAAYABgBZAQAA/AUAAAAA&#10;">
                      <v:fill on="f" focussize="0,0"/>
                      <v:stroke weight="2pt" color="#4F81BD [3204]" joinstyle="round"/>
                      <v:imagedata o:title=""/>
                      <o:lock v:ext="edit" aspectratio="f"/>
                      <v:textbox>
                        <w:txbxContent>
                          <w:p w14:paraId="454B128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24</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1026795</wp:posOffset>
                      </wp:positionH>
                      <wp:positionV relativeFrom="paragraph">
                        <wp:posOffset>148590</wp:posOffset>
                      </wp:positionV>
                      <wp:extent cx="669290" cy="285750"/>
                      <wp:effectExtent l="12700" t="12700" r="22860" b="25400"/>
                      <wp:wrapNone/>
                      <wp:docPr id="26" name="矩形 26"/>
                      <wp:cNvGraphicFramePr/>
                      <a:graphic xmlns:a="http://schemas.openxmlformats.org/drawingml/2006/main">
                        <a:graphicData uri="http://schemas.microsoft.com/office/word/2010/wordprocessingShape">
                          <wps:wsp>
                            <wps:cNvSpPr/>
                            <wps:spPr>
                              <a:xfrm>
                                <a:off x="0" y="0"/>
                                <a:ext cx="669290" cy="285750"/>
                              </a:xfrm>
                              <a:prstGeom prst="rect">
                                <a:avLst/>
                              </a:prstGeom>
                            </wps:spPr>
                            <wps:style>
                              <a:lnRef idx="2">
                                <a:schemeClr val="accent1"/>
                              </a:lnRef>
                              <a:fillRef idx="0">
                                <a:srgbClr val="FFFFFF"/>
                              </a:fillRef>
                              <a:effectRef idx="0">
                                <a:srgbClr val="FFFFFF"/>
                              </a:effectRef>
                              <a:fontRef idx="minor">
                                <a:schemeClr val="tx1"/>
                              </a:fontRef>
                            </wps:style>
                            <wps:txbx>
                              <w:txbxContent>
                                <w:p w14:paraId="44BE8D0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色母粒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1.7pt;height:22.5pt;width:52.7pt;z-index:251667456;v-text-anchor:middle;mso-width-relative:page;mso-height-relative:page;" filled="f" stroked="t" coordsize="21600,21600" o:gfxdata="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2inA/1QAAAAkBAAAPAAAAAAAAAAEAIAAAACIAAABkcnMvZG93bnJldi54bWxQSwECFAAU&#10;AAAACACHTuJAd1PUsGYCAADABAAADgAAAAAAAAABACAAAAAkAQAAZHJzL2Uyb0RvYy54bWxQSwUG&#10;AAAAAAYABgBZAQAA/AUAAAAA&#10;">
                      <v:fill on="f" focussize="0,0"/>
                      <v:stroke weight="2pt" color="#4F81BD [3204]" joinstyle="round"/>
                      <v:imagedata o:title=""/>
                      <o:lock v:ext="edit" aspectratio="f"/>
                      <v:textbox>
                        <w:txbxContent>
                          <w:p w14:paraId="44BE8D0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色母粒</w:t>
                            </w: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2512695</wp:posOffset>
                      </wp:positionH>
                      <wp:positionV relativeFrom="paragraph">
                        <wp:posOffset>144145</wp:posOffset>
                      </wp:positionV>
                      <wp:extent cx="428625" cy="161925"/>
                      <wp:effectExtent l="12700" t="12700" r="15875" b="15875"/>
                      <wp:wrapNone/>
                      <wp:docPr id="28" name="五边形 28"/>
                      <wp:cNvGraphicFramePr/>
                      <a:graphic xmlns:a="http://schemas.openxmlformats.org/drawingml/2006/main">
                        <a:graphicData uri="http://schemas.microsoft.com/office/word/2010/wordprocessingShape">
                          <wps:wsp>
                            <wps:cNvSpPr/>
                            <wps:spPr>
                              <a:xfrm>
                                <a:off x="3166745" y="8422005"/>
                                <a:ext cx="428625" cy="161925"/>
                              </a:xfrm>
                              <a:prstGeom prst="homePlat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97.85pt;margin-top:11.35pt;height:12.75pt;width:33.75pt;z-index:251669504;v-text-anchor:middle;mso-width-relative:page;mso-height-relative:page;" fillcolor="#4F81BD [3204]" filled="t" stroked="t" coordsize="21600,21600" o:gfxdata="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PdTYO2AAA&#10;AAkBAAAPAAAAAAAAAAEAIAAAACIAAABkcnMvZG93bnJldi54bWxQSwECFAAUAAAACACHTuJAhnkH&#10;8ZACAAAUBQAADgAAAAAAAAABACAAAAAnAQAAZHJzL2Uyb0RvYy54bWxQSwUGAAAAAAYABgBZAQAA&#10;KQYAAAAA&#10;" adj="17520">
                      <v:fill on="t" focussize="0,0"/>
                      <v:stroke weight="2pt" color="#376092 [2404]" joinstyle="round"/>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2941320</wp:posOffset>
                      </wp:positionH>
                      <wp:positionV relativeFrom="paragraph">
                        <wp:posOffset>100965</wp:posOffset>
                      </wp:positionV>
                      <wp:extent cx="669290" cy="400685"/>
                      <wp:effectExtent l="12700" t="12700" r="22860" b="24765"/>
                      <wp:wrapNone/>
                      <wp:docPr id="29" name="矩形 29"/>
                      <wp:cNvGraphicFramePr/>
                      <a:graphic xmlns:a="http://schemas.openxmlformats.org/drawingml/2006/main">
                        <a:graphicData uri="http://schemas.microsoft.com/office/word/2010/wordprocessingShape">
                          <wps:wsp>
                            <wps:cNvSpPr/>
                            <wps:spPr>
                              <a:xfrm>
                                <a:off x="0" y="0"/>
                                <a:ext cx="669290" cy="400685"/>
                              </a:xfrm>
                              <a:prstGeom prst="rect">
                                <a:avLst/>
                              </a:prstGeom>
                            </wps:spPr>
                            <wps:style>
                              <a:lnRef idx="2">
                                <a:schemeClr val="accent1"/>
                              </a:lnRef>
                              <a:fillRef idx="0">
                                <a:srgbClr val="FFFFFF"/>
                              </a:fillRef>
                              <a:effectRef idx="0">
                                <a:srgbClr val="FFFFFF"/>
                              </a:effectRef>
                              <a:fontRef idx="minor">
                                <a:schemeClr val="tx1"/>
                              </a:fontRef>
                            </wps:style>
                            <wps:txbx>
                              <w:txbxContent>
                                <w:p w14:paraId="0864073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产出总量</w:t>
                                  </w:r>
                                </w:p>
                                <w:p w14:paraId="1C9430BB">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3002.23</w:t>
                                  </w:r>
                                </w:p>
                                <w:p w14:paraId="1BAD3861">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6pt;margin-top:7.95pt;height:31.55pt;width:52.7pt;z-index:251670528;v-text-anchor:middle;mso-width-relative:page;mso-height-relative:page;" filled="f" stroked="t" coordsize="21600,21600" o:gfxdata="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EnZ2/WAAAACQEAAA8AAAAAAAAAAQAgAAAAIgAAAGRycy9kb3ducmV2LnhtbFBLAQIUABQA&#10;AAAIAIdO4kDjzmZ3ZAIAAMAEAAAOAAAAAAAAAAEAIAAAACUBAABkcnMvZTJvRG9jLnhtbFBLBQYA&#10;AAAABgAGAFkBAAD7BQAAAAA=&#10;">
                      <v:fill on="f" focussize="0,0"/>
                      <v:stroke weight="2pt" color="#4F81BD [3204]" joinstyle="round"/>
                      <v:imagedata o:title=""/>
                      <o:lock v:ext="edit" aspectratio="f"/>
                      <v:textbox>
                        <w:txbxContent>
                          <w:p w14:paraId="0864073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产出总量</w:t>
                            </w:r>
                          </w:p>
                          <w:p w14:paraId="1C9430BB">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3002.23</w:t>
                            </w:r>
                          </w:p>
                          <w:p w14:paraId="1BAD3861">
                            <w:pPr>
                              <w:rPr>
                                <w:rFonts w:hint="default"/>
                                <w:lang w:val="en-US" w:eastAsia="zh-CN"/>
                              </w:rPr>
                            </w:pPr>
                          </w:p>
                        </w:txbxContent>
                      </v:textbox>
                    </v:rect>
                  </w:pict>
                </mc:Fallback>
              </mc:AlternateContent>
            </w:r>
          </w:p>
          <w:p w14:paraId="044B947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83840" behindDoc="0" locked="0" layoutInCell="1" allowOverlap="1">
                      <wp:simplePos x="0" y="0"/>
                      <wp:positionH relativeFrom="column">
                        <wp:posOffset>4465320</wp:posOffset>
                      </wp:positionH>
                      <wp:positionV relativeFrom="paragraph">
                        <wp:posOffset>118745</wp:posOffset>
                      </wp:positionV>
                      <wp:extent cx="669290" cy="257175"/>
                      <wp:effectExtent l="12700" t="12700" r="22860" b="15875"/>
                      <wp:wrapNone/>
                      <wp:docPr id="43" name="矩形 43"/>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015E0C5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9.35pt;height:20.25pt;width:52.7pt;z-index:251683840;v-text-anchor:middle;mso-width-relative:page;mso-height-relative:page;" filled="f" stroked="t" coordsize="21600,21600" o:gfxdata="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VpyXDVAAAACQEAAA8AAAAAAAAAAQAgAAAAIgAAAGRycy9kb3ducmV2LnhtbFBLAQIUABQA&#10;AAAIAIdO4kCcW+78ZQIAAMAEAAAOAAAAAAAAAAEAIAAAACQBAABkcnMvZTJvRG9jLnhtbFBLBQYA&#10;AAAABgAGAFkBAAD7BQAAAAA=&#10;">
                      <v:fill on="f" focussize="0,0"/>
                      <v:stroke weight="2pt" color="#4F81BD [3204]" joinstyle="round"/>
                      <v:imagedata o:title=""/>
                      <o:lock v:ext="edit" aspectratio="f"/>
                      <v:textbox>
                        <w:txbxContent>
                          <w:p w14:paraId="015E0C5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0.5</w:t>
                            </w: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1760220</wp:posOffset>
                      </wp:positionH>
                      <wp:positionV relativeFrom="paragraph">
                        <wp:posOffset>185420</wp:posOffset>
                      </wp:positionV>
                      <wp:extent cx="669290" cy="257175"/>
                      <wp:effectExtent l="12700" t="12700" r="22860" b="15875"/>
                      <wp:wrapNone/>
                      <wp:docPr id="36" name="矩形 36"/>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19B732F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60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pt;margin-top:14.6pt;height:20.25pt;width:52.7pt;z-index:251676672;v-text-anchor:middle;mso-width-relative:page;mso-height-relative:page;" filled="f" stroked="t" coordsize="21600,21600" o:gfxdata="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RegNnVAAAACQEAAA8AAAAAAAAAAQAgAAAAIgAAAGRycy9kb3ducmV2LnhtbFBLAQIUABQA&#10;AAAIAIdO4kCi+iaoZQIAAMAEAAAOAAAAAAAAAAEAIAAAACQBAABkcnMvZTJvRG9jLnhtbFBLBQYA&#10;AAAABgAGAFkBAAD7BQAAAAA=&#10;">
                      <v:fill on="f" focussize="0,0"/>
                      <v:stroke weight="2pt" color="#4F81BD [3204]" joinstyle="round"/>
                      <v:imagedata o:title=""/>
                      <o:lock v:ext="edit" aspectratio="f"/>
                      <v:textbox>
                        <w:txbxContent>
                          <w:p w14:paraId="19B732F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60</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1026795</wp:posOffset>
                      </wp:positionH>
                      <wp:positionV relativeFrom="paragraph">
                        <wp:posOffset>185420</wp:posOffset>
                      </wp:positionV>
                      <wp:extent cx="669290" cy="257175"/>
                      <wp:effectExtent l="12700" t="12700" r="22860" b="15875"/>
                      <wp:wrapNone/>
                      <wp:docPr id="27" name="矩形 27"/>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5DF31D9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18"/>
                                      <w:szCs w:val="18"/>
                                      <w:lang w:val="en-US" w:eastAsia="zh-CN"/>
                                    </w:rPr>
                                    <w:t>抗氧化剂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4.6pt;height:20.25pt;width:52.7pt;z-index:251668480;v-text-anchor:middle;mso-width-relative:page;mso-height-relative:page;" filled="f" stroked="t" coordsize="21600,21600" o:gfxdata="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RFtjbVAAAACQEAAA8AAAAAAAAAAQAgAAAAIgAAAGRycy9kb3ducmV2LnhtbFBLAQIUABQA&#10;AAAIAIdO4kCZk0d9ZQIAAMAEAAAOAAAAAAAAAAEAIAAAACQBAABkcnMvZTJvRG9jLnhtbFBLBQYA&#10;AAAABgAGAFkBAAD7BQAAAAA=&#10;">
                      <v:fill on="f" focussize="0,0"/>
                      <v:stroke weight="2pt" color="#4F81BD [3204]" joinstyle="round"/>
                      <v:imagedata o:title=""/>
                      <o:lock v:ext="edit" aspectratio="f"/>
                      <v:textbox>
                        <w:txbxContent>
                          <w:p w14:paraId="5DF31D9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18"/>
                                <w:szCs w:val="18"/>
                                <w:lang w:val="en-US" w:eastAsia="zh-CN"/>
                              </w:rPr>
                              <w:t>抗氧化剂</w:t>
                            </w:r>
                          </w:p>
                        </w:txbxContent>
                      </v:textbox>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3722370</wp:posOffset>
                      </wp:positionH>
                      <wp:positionV relativeFrom="paragraph">
                        <wp:posOffset>99695</wp:posOffset>
                      </wp:positionV>
                      <wp:extent cx="669290" cy="257175"/>
                      <wp:effectExtent l="12700" t="12700" r="22860" b="15875"/>
                      <wp:wrapNone/>
                      <wp:docPr id="38" name="矩形 38"/>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1517EEE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1pt;margin-top:7.85pt;height:20.25pt;width:52.7pt;z-index:251678720;v-text-anchor:middle;mso-width-relative:page;mso-height-relative:page;" filled="f" stroked="t" coordsize="21600,21600" o:gfxdata="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2nlNUAAAAJAQAADwAAAAAAAAABACAAAAAiAAAAZHJzL2Rvd25yZXYueG1sUEsBAhQAFAAA&#10;AAgAh07iQDb3VtBkAgAAwAQAAA4AAAAAAAAAAQAgAAAAJAEAAGRycy9lMm9Eb2MueG1sUEsFBgAA&#10;AAAGAAYAWQEAAPoFAAAAAA==&#10;">
                      <v:fill on="f" focussize="0,0"/>
                      <v:stroke weight="2pt" color="#4F81BD [3204]" joinstyle="round"/>
                      <v:imagedata o:title=""/>
                      <o:lock v:ext="edit" aspectratio="f"/>
                      <v:textbox>
                        <w:txbxContent>
                          <w:p w14:paraId="1517EEE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颗粒物</w:t>
                            </w:r>
                          </w:p>
                        </w:txbxContent>
                      </v:textbox>
                    </v:rect>
                  </w:pict>
                </mc:Fallback>
              </mc:AlternateContent>
            </w:r>
          </w:p>
          <w:p w14:paraId="07632C31">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84864" behindDoc="0" locked="0" layoutInCell="1" allowOverlap="1">
                      <wp:simplePos x="0" y="0"/>
                      <wp:positionH relativeFrom="column">
                        <wp:posOffset>4465320</wp:posOffset>
                      </wp:positionH>
                      <wp:positionV relativeFrom="paragraph">
                        <wp:posOffset>128270</wp:posOffset>
                      </wp:positionV>
                      <wp:extent cx="669290" cy="257175"/>
                      <wp:effectExtent l="12700" t="12700" r="22860" b="15875"/>
                      <wp:wrapNone/>
                      <wp:docPr id="44" name="矩形 44"/>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110ADF7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0.0026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10.1pt;height:20.25pt;width:52.7pt;z-index:251684864;v-text-anchor:middle;mso-width-relative:page;mso-height-relative:page;" filled="f" stroked="t" coordsize="21600,21600" o:gfxdata="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qo/x0wAAAAkBAAAPAAAAAAAAAAEAIAAAACIAAABkcnMvZG93bnJldi54bWxQSwECFAAUAAAA&#10;CACHTuJAVl3WwGUCAADABAAADgAAAAAAAAABACAAAAAiAQAAZHJzL2Uyb0RvYy54bWxQSwUGAAAA&#10;AAYABgBZAQAA+QUAAAAA&#10;">
                      <v:fill on="f" focussize="0,0"/>
                      <v:stroke weight="2pt" color="#4F81BD [3204]" joinstyle="round"/>
                      <v:imagedata o:title=""/>
                      <o:lock v:ext="edit" aspectratio="f"/>
                      <v:textbox>
                        <w:txbxContent>
                          <w:p w14:paraId="110ADF7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0.0026</w:t>
                            </w:r>
                          </w:p>
                        </w:txbxContent>
                      </v:textbox>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3731895</wp:posOffset>
                      </wp:positionH>
                      <wp:positionV relativeFrom="paragraph">
                        <wp:posOffset>118745</wp:posOffset>
                      </wp:positionV>
                      <wp:extent cx="669290" cy="257175"/>
                      <wp:effectExtent l="12700" t="12700" r="22860" b="15875"/>
                      <wp:wrapNone/>
                      <wp:docPr id="39" name="矩形 39"/>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67FA96D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氯化氢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85pt;margin-top:9.35pt;height:20.25pt;width:52.7pt;z-index:251679744;v-text-anchor:middle;mso-width-relative:page;mso-height-relative:page;" filled="f" stroked="t" coordsize="21600,21600" o:gfxdata="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I8nSrVAAAACQEAAA8AAAAAAAAAAQAgAAAAIgAAAGRycy9kb3ducmV2LnhtbFBLAQIUABQA&#10;AAAIAIdO4kAYLejZZQIAAMAEAAAOAAAAAAAAAAEAIAAAACQBAABkcnMvZTJvRG9jLnhtbFBLBQYA&#10;AAAABgAGAFkBAAD7BQAAAAA=&#10;">
                      <v:fill on="f" focussize="0,0"/>
                      <v:stroke weight="2pt" color="#4F81BD [3204]" joinstyle="round"/>
                      <v:imagedata o:title=""/>
                      <o:lock v:ext="edit" aspectratio="f"/>
                      <v:textbox>
                        <w:txbxContent>
                          <w:p w14:paraId="67FA96D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氯化氢</w:t>
                            </w:r>
                          </w:p>
                        </w:txbxContent>
                      </v:textbox>
                    </v:rect>
                  </w:pict>
                </mc:Fallback>
              </mc:AlternateContent>
            </w:r>
          </w:p>
          <w:p w14:paraId="0708108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p>
          <w:p w14:paraId="7CF7812D">
            <w:pPr>
              <w:keepNext w:val="0"/>
              <w:keepLines w:val="0"/>
              <w:pageBreakBefore w:val="0"/>
              <w:widowControl w:val="0"/>
              <w:kinsoku/>
              <w:wordWrap/>
              <w:overflowPunct/>
              <w:topLinePunct w:val="0"/>
              <w:autoSpaceDE/>
              <w:autoSpaceDN/>
              <w:bidi w:val="0"/>
              <w:adjustRightInd/>
              <w:snapToGrid/>
              <w:ind w:firstLine="1890" w:firstLineChars="900"/>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 xml:space="preserve">图2-1  </w:t>
            </w:r>
            <w:r>
              <w:rPr>
                <w:rFonts w:hint="eastAsia"/>
                <w:color w:val="auto"/>
                <w:spacing w:val="0"/>
                <w:position w:val="0"/>
                <w:sz w:val="21"/>
                <w:szCs w:val="21"/>
                <w:lang w:val="en-US" w:eastAsia="zh-CN"/>
              </w:rPr>
              <w:t>PP、PVC管件生产线物料平衡图</w:t>
            </w:r>
          </w:p>
          <w:p w14:paraId="4BCCB545">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89984" behindDoc="0" locked="0" layoutInCell="1" allowOverlap="1">
                      <wp:simplePos x="0" y="0"/>
                      <wp:positionH relativeFrom="column">
                        <wp:posOffset>3741420</wp:posOffset>
                      </wp:positionH>
                      <wp:positionV relativeFrom="paragraph">
                        <wp:posOffset>140335</wp:posOffset>
                      </wp:positionV>
                      <wp:extent cx="716280" cy="257175"/>
                      <wp:effectExtent l="12700" t="12700" r="13970" b="15875"/>
                      <wp:wrapNone/>
                      <wp:docPr id="50" name="矩形 50"/>
                      <wp:cNvGraphicFramePr/>
                      <a:graphic xmlns:a="http://schemas.openxmlformats.org/drawingml/2006/main">
                        <a:graphicData uri="http://schemas.microsoft.com/office/word/2010/wordprocessingShape">
                          <wps:wsp>
                            <wps:cNvSpPr/>
                            <wps:spPr>
                              <a:xfrm>
                                <a:off x="0" y="0"/>
                                <a:ext cx="71628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5D5133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PE</w:t>
                                  </w:r>
                                  <w:r>
                                    <w:rPr>
                                      <w:rStyle w:val="87"/>
                                      <w:rFonts w:hint="eastAsia" w:cs="Times New Roman"/>
                                      <w:color w:val="auto"/>
                                      <w:spacing w:val="0"/>
                                      <w:position w:val="0"/>
                                      <w:sz w:val="18"/>
                                      <w:szCs w:val="18"/>
                                      <w:lang w:val="en-US" w:eastAsia="zh-CN" w:bidi="ar"/>
                                    </w:rPr>
                                    <w:t>打包带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6pt;margin-top:11.05pt;height:20.25pt;width:56.4pt;z-index:251689984;v-text-anchor:middle;mso-width-relative:page;mso-height-relative:page;" filled="f" stroked="t" coordsize="21600,21600" o:gfxdata="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Q2/HfWAAAACQEAAA8AAAAAAAAAAQAgAAAAIgAAAGRycy9kb3ducmV2LnhtbFBLAQIUABQA&#10;AAAIAIdO4kAqCyn3ZAIAAMAEAAAOAAAAAAAAAAEAIAAAACUBAABkcnMvZTJvRG9jLnhtbFBLBQYA&#10;AAAABgAGAFkBAAD7BQAAAAA=&#10;">
                      <v:fill on="f" focussize="0,0"/>
                      <v:stroke weight="2pt" color="#4F81BD [3204]" joinstyle="round"/>
                      <v:imagedata o:title=""/>
                      <o:lock v:ext="edit" aspectratio="f"/>
                      <v:textbox>
                        <w:txbxContent>
                          <w:p w14:paraId="45D5133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PE</w:t>
                            </w:r>
                            <w:r>
                              <w:rPr>
                                <w:rStyle w:val="87"/>
                                <w:rFonts w:hint="eastAsia" w:cs="Times New Roman"/>
                                <w:color w:val="auto"/>
                                <w:spacing w:val="0"/>
                                <w:position w:val="0"/>
                                <w:sz w:val="18"/>
                                <w:szCs w:val="18"/>
                                <w:lang w:val="en-US" w:eastAsia="zh-CN" w:bidi="ar"/>
                              </w:rPr>
                              <w:t>打包带</w:t>
                            </w:r>
                          </w:p>
                        </w:txbxContent>
                      </v:textbox>
                    </v:rect>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4493895</wp:posOffset>
                      </wp:positionH>
                      <wp:positionV relativeFrom="paragraph">
                        <wp:posOffset>130810</wp:posOffset>
                      </wp:positionV>
                      <wp:extent cx="669290" cy="257175"/>
                      <wp:effectExtent l="12700" t="12700" r="22860" b="15875"/>
                      <wp:wrapNone/>
                      <wp:docPr id="49" name="矩形 49"/>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140EBF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85pt;margin-top:10.3pt;height:20.25pt;width:52.7pt;z-index:251696128;v-text-anchor:middle;mso-width-relative:page;mso-height-relative:page;" filled="f" stroked="t" coordsize="21600,21600" o:gfxdata="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cCE7tQAAAAJAQAADwAAAAAAAAABACAAAAAiAAAAZHJzL2Rvd25yZXYueG1sUEsBAhQAFAAA&#10;AAgAh07iQLA+ZaJlAgAAwAQAAA4AAAAAAAAAAQAgAAAAIwEAAGRycy9lMm9Eb2MueG1sUEsFBgAA&#10;AAAGAAYAWQEAAPoFAAAAAA==&#10;">
                      <v:fill on="f" focussize="0,0"/>
                      <v:stroke weight="2pt" color="#4F81BD [3204]" joinstyle="round"/>
                      <v:imagedata o:title=""/>
                      <o:lock v:ext="edit" aspectratio="f"/>
                      <v:textbox>
                        <w:txbxContent>
                          <w:p w14:paraId="4140EBF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2000</w:t>
                            </w:r>
                          </w:p>
                        </w:txbxContent>
                      </v:textbox>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1769745</wp:posOffset>
                      </wp:positionH>
                      <wp:positionV relativeFrom="paragraph">
                        <wp:posOffset>159385</wp:posOffset>
                      </wp:positionV>
                      <wp:extent cx="669290" cy="257175"/>
                      <wp:effectExtent l="12700" t="12700" r="22860" b="15875"/>
                      <wp:wrapNone/>
                      <wp:docPr id="51" name="矩形 51"/>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54B4345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color w:val="auto"/>
                                      <w:spacing w:val="0"/>
                                      <w:position w:val="0"/>
                                      <w:sz w:val="21"/>
                                      <w:szCs w:val="21"/>
                                      <w:lang w:val="en-US" w:eastAsia="zh-CN"/>
                                    </w:rPr>
                                    <w:t>1946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35pt;margin-top:12.55pt;height:20.25pt;width:52.7pt;z-index:251691008;v-text-anchor:middle;mso-width-relative:page;mso-height-relative:page;" filled="f" stroked="t" coordsize="21600,21600" o:gfxdata="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3ZGntUAAAAJAQAADwAAAAAAAAABACAAAAAiAAAAZHJzL2Rvd25yZXYueG1sUEsBAhQAFAAA&#10;AAgAh07iQNVcTDNkAgAAwAQAAA4AAAAAAAAAAQAgAAAAJAEAAGRycy9lMm9Eb2MueG1sUEsFBgAA&#10;AAAGAAYAWQEAAPoFAAAAAA==&#10;">
                      <v:fill on="f" focussize="0,0"/>
                      <v:stroke weight="2pt" color="#4F81BD [3204]" joinstyle="round"/>
                      <v:imagedata o:title=""/>
                      <o:lock v:ext="edit" aspectratio="f"/>
                      <v:textbox>
                        <w:txbxContent>
                          <w:p w14:paraId="54B4345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color w:val="auto"/>
                                <w:spacing w:val="0"/>
                                <w:position w:val="0"/>
                                <w:sz w:val="21"/>
                                <w:szCs w:val="21"/>
                                <w:lang w:val="en-US" w:eastAsia="zh-CN"/>
                              </w:rPr>
                              <w:t>1946</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1026795</wp:posOffset>
                      </wp:positionH>
                      <wp:positionV relativeFrom="paragraph">
                        <wp:posOffset>149860</wp:posOffset>
                      </wp:positionV>
                      <wp:extent cx="669290" cy="257175"/>
                      <wp:effectExtent l="12700" t="12700" r="22860" b="15875"/>
                      <wp:wrapNone/>
                      <wp:docPr id="52" name="矩形 52"/>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6F97A1A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PE</w:t>
                                  </w:r>
                                  <w:r>
                                    <w:rPr>
                                      <w:rStyle w:val="87"/>
                                      <w:rFonts w:hint="eastAsia" w:cs="Times New Roman"/>
                                      <w:color w:val="auto"/>
                                      <w:spacing w:val="0"/>
                                      <w:position w:val="0"/>
                                      <w:sz w:val="18"/>
                                      <w:szCs w:val="18"/>
                                      <w:lang w:val="en-US" w:eastAsia="zh-CN" w:bidi="ar"/>
                                    </w:rPr>
                                    <w:t>新料</w:t>
                                  </w:r>
                                  <w:r>
                                    <w:rPr>
                                      <w:rStyle w:val="87"/>
                                      <w:rFonts w:hint="default" w:ascii="Times New Roman" w:hAnsi="Times New Roman" w:cs="Times New Roman"/>
                                      <w:color w:val="auto"/>
                                      <w:spacing w:val="0"/>
                                      <w:position w:val="0"/>
                                      <w:sz w:val="21"/>
                                      <w:szCs w:val="21"/>
                                      <w:lang w:val="en-US" w:eastAsia="zh-CN" w:bidi="ar"/>
                                    </w:rPr>
                                    <w:t>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1.8pt;height:20.25pt;width:52.7pt;z-index:251685888;v-text-anchor:middle;mso-width-relative:page;mso-height-relative:page;" filled="f" stroked="t" coordsize="21600,21600" o:gfxdata="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JVcI9QAAAAJAQAADwAAAAAAAAABACAAAAAiAAAAZHJzL2Rvd25yZXYueG1sUEsBAhQAFAAA&#10;AAgAh07iQKcyjyllAgAAwAQAAA4AAAAAAAAAAQAgAAAAIwEAAGRycy9lMm9Eb2MueG1sUEsFBgAA&#10;AAAGAAYAWQEAAPoFAAAAAA==&#10;">
                      <v:fill on="f" focussize="0,0"/>
                      <v:stroke weight="2pt" color="#4F81BD [3204]" joinstyle="round"/>
                      <v:imagedata o:title=""/>
                      <o:lock v:ext="edit" aspectratio="f"/>
                      <v:textbox>
                        <w:txbxContent>
                          <w:p w14:paraId="6F97A1A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Style w:val="87"/>
                                <w:rFonts w:hint="default" w:ascii="Times New Roman" w:hAnsi="Times New Roman" w:cs="Times New Roman"/>
                                <w:color w:val="auto"/>
                                <w:spacing w:val="0"/>
                                <w:position w:val="0"/>
                                <w:sz w:val="18"/>
                                <w:szCs w:val="18"/>
                                <w:lang w:val="en-US" w:eastAsia="zh-CN" w:bidi="ar"/>
                              </w:rPr>
                              <w:t>PE</w:t>
                            </w:r>
                            <w:r>
                              <w:rPr>
                                <w:rStyle w:val="87"/>
                                <w:rFonts w:hint="eastAsia" w:cs="Times New Roman"/>
                                <w:color w:val="auto"/>
                                <w:spacing w:val="0"/>
                                <w:position w:val="0"/>
                                <w:sz w:val="18"/>
                                <w:szCs w:val="18"/>
                                <w:lang w:val="en-US" w:eastAsia="zh-CN" w:bidi="ar"/>
                              </w:rPr>
                              <w:t>新料</w:t>
                            </w:r>
                            <w:r>
                              <w:rPr>
                                <w:rStyle w:val="87"/>
                                <w:rFonts w:hint="default" w:ascii="Times New Roman" w:hAnsi="Times New Roman" w:cs="Times New Roman"/>
                                <w:color w:val="auto"/>
                                <w:spacing w:val="0"/>
                                <w:position w:val="0"/>
                                <w:sz w:val="21"/>
                                <w:szCs w:val="21"/>
                                <w:lang w:val="en-US" w:eastAsia="zh-CN" w:bidi="ar"/>
                              </w:rPr>
                              <w:t>粒</w:t>
                            </w:r>
                          </w:p>
                        </w:txbxContent>
                      </v:textbox>
                    </v:rect>
                  </w:pict>
                </mc:Fallback>
              </mc:AlternateContent>
            </w:r>
          </w:p>
          <w:p w14:paraId="52F02A01">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94080" behindDoc="0" locked="0" layoutInCell="1" allowOverlap="1">
                      <wp:simplePos x="0" y="0"/>
                      <wp:positionH relativeFrom="column">
                        <wp:posOffset>3655695</wp:posOffset>
                      </wp:positionH>
                      <wp:positionV relativeFrom="paragraph">
                        <wp:posOffset>139065</wp:posOffset>
                      </wp:positionV>
                      <wp:extent cx="783590" cy="257175"/>
                      <wp:effectExtent l="12700" t="12700" r="22860" b="15875"/>
                      <wp:wrapNone/>
                      <wp:docPr id="57" name="矩形 57"/>
                      <wp:cNvGraphicFramePr/>
                      <a:graphic xmlns:a="http://schemas.openxmlformats.org/drawingml/2006/main">
                        <a:graphicData uri="http://schemas.microsoft.com/office/word/2010/wordprocessingShape">
                          <wps:wsp>
                            <wps:cNvSpPr/>
                            <wps:spPr>
                              <a:xfrm>
                                <a:off x="0" y="0"/>
                                <a:ext cx="7835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19BE0BA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非甲烷总烃</w:t>
                                  </w:r>
                                </w:p>
                                <w:p w14:paraId="7B672E29">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85pt;margin-top:10.95pt;height:20.25pt;width:61.7pt;z-index:251694080;v-text-anchor:middle;mso-width-relative:page;mso-height-relative:page;" filled="f" stroked="t" coordsize="21600,21600" o:gfxdata="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3gsko1gAAAAkBAAAPAAAAAAAAAAEAIAAAACIAAABkcnMvZG93bnJldi54bWxQSwECFAAU&#10;AAAACACHTuJAtdZXQmUCAADABAAADgAAAAAAAAABACAAAAAlAQAAZHJzL2Uyb0RvYy54bWxQSwUG&#10;AAAAAAYABgBZAQAA/AUAAAAA&#10;">
                      <v:fill on="f" focussize="0,0"/>
                      <v:stroke weight="2pt" color="#4F81BD [3204]" joinstyle="round"/>
                      <v:imagedata o:title=""/>
                      <o:lock v:ext="edit" aspectratio="f"/>
                      <v:textbox>
                        <w:txbxContent>
                          <w:p w14:paraId="19BE0BA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非甲烷总烃</w:t>
                            </w:r>
                          </w:p>
                          <w:p w14:paraId="7B672E29">
                            <w:pPr>
                              <w:rPr>
                                <w:rFonts w:hint="eastAsia"/>
                                <w:lang w:val="en-US" w:eastAsia="zh-CN"/>
                              </w:rPr>
                            </w:pPr>
                          </w:p>
                        </w:txbxContent>
                      </v:textbox>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312420</wp:posOffset>
                      </wp:positionH>
                      <wp:positionV relativeFrom="paragraph">
                        <wp:posOffset>108585</wp:posOffset>
                      </wp:positionV>
                      <wp:extent cx="669290" cy="400685"/>
                      <wp:effectExtent l="12700" t="12700" r="22860" b="24765"/>
                      <wp:wrapNone/>
                      <wp:docPr id="67" name="矩形 67"/>
                      <wp:cNvGraphicFramePr/>
                      <a:graphic xmlns:a="http://schemas.openxmlformats.org/drawingml/2006/main">
                        <a:graphicData uri="http://schemas.microsoft.com/office/word/2010/wordprocessingShape">
                          <wps:wsp>
                            <wps:cNvSpPr/>
                            <wps:spPr>
                              <a:xfrm>
                                <a:off x="0" y="0"/>
                                <a:ext cx="669290" cy="400685"/>
                              </a:xfrm>
                              <a:prstGeom prst="rect">
                                <a:avLst/>
                              </a:prstGeom>
                            </wps:spPr>
                            <wps:style>
                              <a:lnRef idx="2">
                                <a:schemeClr val="accent1"/>
                              </a:lnRef>
                              <a:fillRef idx="0">
                                <a:srgbClr val="FFFFFF"/>
                              </a:fillRef>
                              <a:effectRef idx="0">
                                <a:srgbClr val="FFFFFF"/>
                              </a:effectRef>
                              <a:fontRef idx="minor">
                                <a:schemeClr val="tx1"/>
                              </a:fontRef>
                            </wps:style>
                            <wps:txbx>
                              <w:txbxContent>
                                <w:p w14:paraId="3735697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投入总量</w:t>
                                  </w:r>
                                </w:p>
                                <w:p w14:paraId="07DA6513">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2002</w:t>
                                  </w:r>
                                </w:p>
                                <w:p w14:paraId="091C8802">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8.55pt;height:31.55pt;width:52.7pt;z-index:251700224;v-text-anchor:middle;mso-width-relative:page;mso-height-relative:page;" filled="f" stroked="t" coordsize="21600,21600" o:gfxdata="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TUfhvVAAAACAEAAA8AAAAAAAAAAQAgAAAAIgAAAGRycy9kb3ducmV2LnhtbFBLAQIUABQA&#10;AAAIAIdO4kChA4rKZQIAAMAEAAAOAAAAAAAAAAEAIAAAACQBAABkcnMvZTJvRG9jLnhtbFBLBQYA&#10;AAAABgAGAFkBAAD7BQAAAAA=&#10;">
                      <v:fill on="f" focussize="0,0"/>
                      <v:stroke weight="2pt" color="#4F81BD [3204]" joinstyle="round"/>
                      <v:imagedata o:title=""/>
                      <o:lock v:ext="edit" aspectratio="f"/>
                      <v:textbox>
                        <w:txbxContent>
                          <w:p w14:paraId="3735697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投入总量</w:t>
                            </w:r>
                          </w:p>
                          <w:p w14:paraId="07DA6513">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2002</w:t>
                            </w:r>
                          </w:p>
                          <w:p w14:paraId="091C8802">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2988945</wp:posOffset>
                      </wp:positionH>
                      <wp:positionV relativeFrom="paragraph">
                        <wp:posOffset>89535</wp:posOffset>
                      </wp:positionV>
                      <wp:extent cx="669290" cy="400685"/>
                      <wp:effectExtent l="12700" t="12700" r="22860" b="24765"/>
                      <wp:wrapNone/>
                      <wp:docPr id="66" name="矩形 66"/>
                      <wp:cNvGraphicFramePr/>
                      <a:graphic xmlns:a="http://schemas.openxmlformats.org/drawingml/2006/main">
                        <a:graphicData uri="http://schemas.microsoft.com/office/word/2010/wordprocessingShape">
                          <wps:wsp>
                            <wps:cNvSpPr/>
                            <wps:spPr>
                              <a:xfrm>
                                <a:off x="0" y="0"/>
                                <a:ext cx="669290" cy="400685"/>
                              </a:xfrm>
                              <a:prstGeom prst="rect">
                                <a:avLst/>
                              </a:prstGeom>
                            </wps:spPr>
                            <wps:style>
                              <a:lnRef idx="2">
                                <a:schemeClr val="accent1"/>
                              </a:lnRef>
                              <a:fillRef idx="0">
                                <a:srgbClr val="FFFFFF"/>
                              </a:fillRef>
                              <a:effectRef idx="0">
                                <a:srgbClr val="FFFFFF"/>
                              </a:effectRef>
                              <a:fontRef idx="minor">
                                <a:schemeClr val="tx1"/>
                              </a:fontRef>
                            </wps:style>
                            <wps:txbx>
                              <w:txbxContent>
                                <w:p w14:paraId="2469EAF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产出总量</w:t>
                                  </w:r>
                                </w:p>
                                <w:p w14:paraId="68E816D1">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2002</w:t>
                                  </w:r>
                                </w:p>
                                <w:p w14:paraId="6B1CD95E">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35pt;margin-top:7.05pt;height:31.55pt;width:52.7pt;z-index:251699200;v-text-anchor:middle;mso-width-relative:page;mso-height-relative:page;" filled="f" stroked="t" coordsize="21600,21600" o:gfxdata="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okwidUAAAAJAQAADwAAAAAAAAABACAAAAAiAAAAZHJzL2Rvd25yZXYueG1sUEsBAhQAFAAA&#10;AAgAh07iQI/ZNMNkAgAAwAQAAA4AAAAAAAAAAQAgAAAAJAEAAGRycy9lMm9Eb2MueG1sUEsFBgAA&#10;AAAGAAYAWQEAAPoFAAAAAA==&#10;">
                      <v:fill on="f" focussize="0,0"/>
                      <v:stroke weight="2pt" color="#4F81BD [3204]" joinstyle="round"/>
                      <v:imagedata o:title=""/>
                      <o:lock v:ext="edit" aspectratio="f"/>
                      <v:textbox>
                        <w:txbxContent>
                          <w:p w14:paraId="2469EAF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Style w:val="87"/>
                                <w:rFonts w:hint="eastAsia" w:cs="Times New Roman"/>
                                <w:color w:val="auto"/>
                                <w:spacing w:val="0"/>
                                <w:position w:val="0"/>
                                <w:sz w:val="18"/>
                                <w:szCs w:val="18"/>
                                <w:lang w:val="en-US" w:eastAsia="zh-CN" w:bidi="ar"/>
                              </w:rPr>
                            </w:pPr>
                            <w:r>
                              <w:rPr>
                                <w:rStyle w:val="87"/>
                                <w:rFonts w:hint="eastAsia" w:cs="Times New Roman"/>
                                <w:color w:val="auto"/>
                                <w:spacing w:val="0"/>
                                <w:position w:val="0"/>
                                <w:sz w:val="18"/>
                                <w:szCs w:val="18"/>
                                <w:lang w:val="en-US" w:eastAsia="zh-CN" w:bidi="ar"/>
                              </w:rPr>
                              <w:t>产出总量</w:t>
                            </w:r>
                          </w:p>
                          <w:p w14:paraId="68E816D1">
                            <w:pPr>
                              <w:pStyle w:val="2"/>
                              <w:keepNext/>
                              <w:keepLines/>
                              <w:pageBreakBefore w:val="0"/>
                              <w:widowControl w:val="0"/>
                              <w:kinsoku/>
                              <w:wordWrap/>
                              <w:overflowPunct/>
                              <w:topLinePunct w:val="0"/>
                              <w:bidi w:val="0"/>
                              <w:adjustRightInd/>
                              <w:snapToGrid/>
                              <w:spacing w:before="0" w:after="0" w:line="240" w:lineRule="auto"/>
                              <w:ind w:firstLine="0" w:firstLineChars="0"/>
                              <w:jc w:val="left"/>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eastAsia" w:ascii="Times New Roman" w:hAnsi="Times New Roman" w:eastAsia="宋体" w:cs="Times New Roman"/>
                                <w:b w:val="0"/>
                                <w:color w:val="auto"/>
                                <w:spacing w:val="0"/>
                                <w:kern w:val="2"/>
                                <w:position w:val="0"/>
                                <w:sz w:val="21"/>
                                <w:szCs w:val="21"/>
                                <w:lang w:val="en-US" w:eastAsia="zh-CN" w:bidi="ar-SA"/>
                              </w:rPr>
                              <w:t>2002</w:t>
                            </w:r>
                          </w:p>
                          <w:p w14:paraId="6B1CD95E">
                            <w:pPr>
                              <w:rPr>
                                <w:rFonts w:hint="default"/>
                                <w:lang w:val="en-US" w:eastAsia="zh-CN"/>
                              </w:rPr>
                            </w:pPr>
                          </w:p>
                        </w:txbxContent>
                      </v:textbox>
                    </v:rect>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4465320</wp:posOffset>
                      </wp:positionH>
                      <wp:positionV relativeFrom="paragraph">
                        <wp:posOffset>148590</wp:posOffset>
                      </wp:positionV>
                      <wp:extent cx="669290" cy="257175"/>
                      <wp:effectExtent l="12700" t="12700" r="22860" b="15875"/>
                      <wp:wrapNone/>
                      <wp:docPr id="53" name="矩形 53"/>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06BF59D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1.65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11.7pt;height:20.25pt;width:52.7pt;z-index:251697152;v-text-anchor:middle;mso-width-relative:page;mso-height-relative:page;" filled="f" stroked="t" coordsize="21600,21600" o:gfxdata="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OfpZ0wAAAAkBAAAPAAAAAAAAAAEAIAAAACIAAABkcnMvZG93bnJldi54bWxQSwECFAAUAAAA&#10;CACHTuJAiegxIGUCAADABAAADgAAAAAAAAABACAAAAAiAQAAZHJzL2Uyb0RvYy54bWxQSwUGAAAA&#10;AAYABgBZAQAA+QUAAAAA&#10;">
                      <v:fill on="f" focussize="0,0"/>
                      <v:stroke weight="2pt" color="#4F81BD [3204]" joinstyle="round"/>
                      <v:imagedata o:title=""/>
                      <o:lock v:ext="edit" aspectratio="f"/>
                      <v:textbox>
                        <w:txbxContent>
                          <w:p w14:paraId="06BF59D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1.65</w:t>
                            </w:r>
                          </w:p>
                        </w:txbxContent>
                      </v:textbox>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1760220</wp:posOffset>
                      </wp:positionH>
                      <wp:positionV relativeFrom="paragraph">
                        <wp:posOffset>158115</wp:posOffset>
                      </wp:positionV>
                      <wp:extent cx="669290" cy="257175"/>
                      <wp:effectExtent l="12700" t="12700" r="22860" b="15875"/>
                      <wp:wrapNone/>
                      <wp:docPr id="54" name="矩形 54"/>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B00344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pt;margin-top:12.45pt;height:20.25pt;width:52.7pt;z-index:251692032;v-text-anchor:middle;mso-width-relative:page;mso-height-relative:page;" filled="f" stroked="t" coordsize="21600,21600" o:gfxdata="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Iw6WP1gAAAAkBAAAPAAAAAAAAAAEAIAAAACIAAABkcnMvZG93bnJldi54bWxQSwECFAAU&#10;AAAACACHTuJAQ+4JHGUCAADABAAADgAAAAAAAAABACAAAAAlAQAAZHJzL2Uyb0RvYy54bWxQSwUG&#10;AAAAAAYABgBZAQAA/AUAAAAA&#10;">
                      <v:fill on="f" focussize="0,0"/>
                      <v:stroke weight="2pt" color="#4F81BD [3204]" joinstyle="round"/>
                      <v:imagedata o:title=""/>
                      <o:lock v:ext="edit" aspectratio="f"/>
                      <v:textbox>
                        <w:txbxContent>
                          <w:p w14:paraId="4B00344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16</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1026795</wp:posOffset>
                      </wp:positionH>
                      <wp:positionV relativeFrom="paragraph">
                        <wp:posOffset>148590</wp:posOffset>
                      </wp:positionV>
                      <wp:extent cx="669290" cy="285750"/>
                      <wp:effectExtent l="12700" t="12700" r="22860" b="25400"/>
                      <wp:wrapNone/>
                      <wp:docPr id="55" name="矩形 55"/>
                      <wp:cNvGraphicFramePr/>
                      <a:graphic xmlns:a="http://schemas.openxmlformats.org/drawingml/2006/main">
                        <a:graphicData uri="http://schemas.microsoft.com/office/word/2010/wordprocessingShape">
                          <wps:wsp>
                            <wps:cNvSpPr/>
                            <wps:spPr>
                              <a:xfrm>
                                <a:off x="0" y="0"/>
                                <a:ext cx="669290" cy="285750"/>
                              </a:xfrm>
                              <a:prstGeom prst="rect">
                                <a:avLst/>
                              </a:prstGeom>
                            </wps:spPr>
                            <wps:style>
                              <a:lnRef idx="2">
                                <a:schemeClr val="accent1"/>
                              </a:lnRef>
                              <a:fillRef idx="0">
                                <a:srgbClr val="FFFFFF"/>
                              </a:fillRef>
                              <a:effectRef idx="0">
                                <a:srgbClr val="FFFFFF"/>
                              </a:effectRef>
                              <a:fontRef idx="minor">
                                <a:schemeClr val="tx1"/>
                              </a:fontRef>
                            </wps:style>
                            <wps:txbx>
                              <w:txbxContent>
                                <w:p w14:paraId="3087E13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色母粒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1.7pt;height:22.5pt;width:52.7pt;z-index:251686912;v-text-anchor:middle;mso-width-relative:page;mso-height-relative:page;" filled="f" stroked="t" coordsize="21600,21600" o:gfxdata="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aKcD/VAAAACQEAAA8AAAAAAAAAAQAgAAAAIgAAAGRycy9kb3ducmV2LnhtbFBLAQIUABQA&#10;AAAIAIdO4kCtLprRZQIAAMAEAAAOAAAAAAAAAAEAIAAAACQBAABkcnMvZTJvRG9jLnhtbFBLBQYA&#10;AAAABgAGAFkBAAD7BQAAAAA=&#10;">
                      <v:fill on="f" focussize="0,0"/>
                      <v:stroke weight="2pt" color="#4F81BD [3204]" joinstyle="round"/>
                      <v:imagedata o:title=""/>
                      <o:lock v:ext="edit" aspectratio="f"/>
                      <v:textbox>
                        <w:txbxContent>
                          <w:p w14:paraId="3087E13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21"/>
                                <w:szCs w:val="21"/>
                                <w:lang w:val="en-US" w:eastAsia="zh-CN"/>
                              </w:rPr>
                              <w:t>色母粒</w:t>
                            </w: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2512695</wp:posOffset>
                      </wp:positionH>
                      <wp:positionV relativeFrom="paragraph">
                        <wp:posOffset>144145</wp:posOffset>
                      </wp:positionV>
                      <wp:extent cx="428625" cy="161925"/>
                      <wp:effectExtent l="12700" t="12700" r="15875" b="15875"/>
                      <wp:wrapNone/>
                      <wp:docPr id="56" name="五边形 56"/>
                      <wp:cNvGraphicFramePr/>
                      <a:graphic xmlns:a="http://schemas.openxmlformats.org/drawingml/2006/main">
                        <a:graphicData uri="http://schemas.microsoft.com/office/word/2010/wordprocessingShape">
                          <wps:wsp>
                            <wps:cNvSpPr/>
                            <wps:spPr>
                              <a:xfrm>
                                <a:off x="3166745" y="8422005"/>
                                <a:ext cx="428625" cy="161925"/>
                              </a:xfrm>
                              <a:prstGeom prst="homePlat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97.85pt;margin-top:11.35pt;height:12.75pt;width:33.75pt;z-index:251688960;v-text-anchor:middle;mso-width-relative:page;mso-height-relative:page;" fillcolor="#4F81BD [3204]" filled="t" stroked="t" coordsize="21600,21600" o:gfxdata="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PdTYO2AAA&#10;AAkBAAAPAAAAAAAAAAEAIAAAACIAAABkcnMvZG93bnJldi54bWxQSwECFAAUAAAACACHTuJAq9bh&#10;1JACAAAUBQAADgAAAAAAAAABACAAAAAnAQAAZHJzL2Uyb0RvYy54bWxQSwUGAAAAAAYABgBZAQAA&#10;KQYAAAAA&#10;" adj="17520">
                      <v:fill on="t" focussize="0,0"/>
                      <v:stroke weight="2pt" color="#376092 [2404]" joinstyle="round"/>
                      <v:imagedata o:title=""/>
                      <o:lock v:ext="edit" aspectratio="f"/>
                    </v:shape>
                  </w:pict>
                </mc:Fallback>
              </mc:AlternateContent>
            </w:r>
          </w:p>
          <w:p w14:paraId="595A7F7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sz w:val="21"/>
              </w:rPr>
              <mc:AlternateContent>
                <mc:Choice Requires="wps">
                  <w:drawing>
                    <wp:anchor distT="0" distB="0" distL="114300" distR="114300" simplePos="0" relativeHeight="251698176" behindDoc="0" locked="0" layoutInCell="1" allowOverlap="1">
                      <wp:simplePos x="0" y="0"/>
                      <wp:positionH relativeFrom="column">
                        <wp:posOffset>4465320</wp:posOffset>
                      </wp:positionH>
                      <wp:positionV relativeFrom="paragraph">
                        <wp:posOffset>166370</wp:posOffset>
                      </wp:positionV>
                      <wp:extent cx="669290" cy="257175"/>
                      <wp:effectExtent l="12700" t="12700" r="22860" b="15875"/>
                      <wp:wrapNone/>
                      <wp:docPr id="60" name="矩形 60"/>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7CA02F9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0.35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6pt;margin-top:13.1pt;height:20.25pt;width:52.7pt;z-index:251698176;v-text-anchor:middle;mso-width-relative:page;mso-height-relative:page;" filled="f" stroked="t" coordsize="21600,21600" o:gfxdata="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SW7B1AAAAAkBAAAPAAAAAAAAAAEAIAAAACIAAABkcnMvZG93bnJldi54bWxQSwECFAAUAAAA&#10;CACHTuJAhVXjhGQCAADABAAADgAAAAAAAAABACAAAAAjAQAAZHJzL2Uyb0RvYy54bWxQSwUGAAAA&#10;AAYABgBZAQAA+QUAAAAA&#10;">
                      <v:fill on="f" focussize="0,0"/>
                      <v:stroke weight="2pt" color="#4F81BD [3204]" joinstyle="round"/>
                      <v:imagedata o:title=""/>
                      <o:lock v:ext="edit" aspectratio="f"/>
                      <v:textbox>
                        <w:txbxContent>
                          <w:p w14:paraId="7CA02F9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0.35</w:t>
                            </w:r>
                          </w:p>
                        </w:txbxContent>
                      </v:textbox>
                    </v:rect>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3722370</wp:posOffset>
                      </wp:positionH>
                      <wp:positionV relativeFrom="paragraph">
                        <wp:posOffset>156845</wp:posOffset>
                      </wp:positionV>
                      <wp:extent cx="669290" cy="257175"/>
                      <wp:effectExtent l="12700" t="12700" r="22860" b="15875"/>
                      <wp:wrapNone/>
                      <wp:docPr id="63" name="矩形 63"/>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3B7927D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颗粒物</w:t>
                                  </w:r>
                                </w:p>
                                <w:p w14:paraId="6241417F">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1pt;margin-top:12.35pt;height:20.25pt;width:52.7pt;z-index:251695104;v-text-anchor:middle;mso-width-relative:page;mso-height-relative:page;" filled="f" stroked="t" coordsize="21600,21600" o:gfxdata="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2NQiN1gAAAAkBAAAPAAAAAAAAAAEAIAAAACIAAABkcnMvZG93bnJldi54bWxQSwECFAAU&#10;AAAACACHTuJA9zsgnmUCAADABAAADgAAAAAAAAABACAAAAAlAQAAZHJzL2Uyb0RvYy54bWxQSwUG&#10;AAAAAAYABgBZAQAA/AUAAAAA&#10;">
                      <v:fill on="f" focussize="0,0"/>
                      <v:stroke weight="2pt" color="#4F81BD [3204]" joinstyle="round"/>
                      <v:imagedata o:title=""/>
                      <o:lock v:ext="edit" aspectratio="f"/>
                      <v:textbox>
                        <w:txbxContent>
                          <w:p w14:paraId="3B7927D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Style w:val="87"/>
                                <w:rFonts w:hint="eastAsia" w:cs="Times New Roman"/>
                                <w:color w:val="auto"/>
                                <w:spacing w:val="0"/>
                                <w:position w:val="0"/>
                                <w:sz w:val="18"/>
                                <w:szCs w:val="18"/>
                                <w:lang w:val="en-US" w:eastAsia="zh-CN" w:bidi="ar"/>
                              </w:rPr>
                              <w:t>颗粒物</w:t>
                            </w:r>
                          </w:p>
                          <w:p w14:paraId="6241417F">
                            <w:pPr>
                              <w:rPr>
                                <w:rFonts w:hint="eastAsia"/>
                                <w:lang w:val="en-US" w:eastAsia="zh-CN"/>
                              </w:rPr>
                            </w:pPr>
                          </w:p>
                        </w:txbxContent>
                      </v:textbox>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1760220</wp:posOffset>
                      </wp:positionH>
                      <wp:positionV relativeFrom="paragraph">
                        <wp:posOffset>185420</wp:posOffset>
                      </wp:positionV>
                      <wp:extent cx="669290" cy="257175"/>
                      <wp:effectExtent l="12700" t="12700" r="22860" b="15875"/>
                      <wp:wrapNone/>
                      <wp:docPr id="61" name="矩形 61"/>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2D0B394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40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6pt;margin-top:14.6pt;height:20.25pt;width:52.7pt;z-index:251693056;v-text-anchor:middle;mso-width-relative:page;mso-height-relative:page;" filled="f" stroked="t" coordsize="21600,21600" o:gfxdata="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F6A2dUAAAAJAQAADwAAAAAAAAABACAAAAAiAAAAZHJzL2Rvd25yZXYueG1sUEsBAhQAFAAA&#10;AAgAh07iQKuPXY1kAgAAwAQAAA4AAAAAAAAAAQAgAAAAJAEAAGRycy9lMm9Eb2MueG1sUEsFBgAA&#10;AAAGAAYAWQEAAPoFAAAAAA==&#10;">
                      <v:fill on="f" focussize="0,0"/>
                      <v:stroke weight="2pt" color="#4F81BD [3204]" joinstyle="round"/>
                      <v:imagedata o:title=""/>
                      <o:lock v:ext="edit" aspectratio="f"/>
                      <v:textbox>
                        <w:txbxContent>
                          <w:p w14:paraId="2D0B394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40</w:t>
                            </w:r>
                          </w:p>
                        </w:txbxContent>
                      </v:textbox>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1026795</wp:posOffset>
                      </wp:positionH>
                      <wp:positionV relativeFrom="paragraph">
                        <wp:posOffset>185420</wp:posOffset>
                      </wp:positionV>
                      <wp:extent cx="669290" cy="257175"/>
                      <wp:effectExtent l="12700" t="12700" r="22860" b="15875"/>
                      <wp:wrapNone/>
                      <wp:docPr id="62" name="矩形 62"/>
                      <wp:cNvGraphicFramePr/>
                      <a:graphic xmlns:a="http://schemas.openxmlformats.org/drawingml/2006/main">
                        <a:graphicData uri="http://schemas.microsoft.com/office/word/2010/wordprocessingShape">
                          <wps:wsp>
                            <wps:cNvSpPr/>
                            <wps:spPr>
                              <a:xfrm>
                                <a:off x="0" y="0"/>
                                <a:ext cx="669290" cy="257175"/>
                              </a:xfrm>
                              <a:prstGeom prst="rect">
                                <a:avLst/>
                              </a:prstGeom>
                            </wps:spPr>
                            <wps:style>
                              <a:lnRef idx="2">
                                <a:schemeClr val="accent1"/>
                              </a:lnRef>
                              <a:fillRef idx="0">
                                <a:srgbClr val="FFFFFF"/>
                              </a:fillRef>
                              <a:effectRef idx="0">
                                <a:srgbClr val="FFFFFF"/>
                              </a:effectRef>
                              <a:fontRef idx="minor">
                                <a:schemeClr val="tx1"/>
                              </a:fontRef>
                            </wps:style>
                            <wps:txbx>
                              <w:txbxContent>
                                <w:p w14:paraId="590D153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18"/>
                                      <w:szCs w:val="18"/>
                                      <w:lang w:val="en-US" w:eastAsia="zh-CN"/>
                                    </w:rPr>
                                    <w:t>抗氧化剂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4.6pt;height:20.25pt;width:52.7pt;z-index:251687936;v-text-anchor:middle;mso-width-relative:page;mso-height-relative:page;" filled="f" stroked="t" coordsize="21600,21600" o:gfxdata="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RFtjbVAAAACQEAAA8AAAAAAAAAAQAgAAAAIgAAAGRycy9kb3ducmV2LnhtbFBLAQIUABQA&#10;AAAIAIdO4kDZ4Z6XZQIAAMAEAAAOAAAAAAAAAAEAIAAAACQBAABkcnMvZTJvRG9jLnhtbFBLBQYA&#10;AAAABgAGAFkBAAD7BQAAAAA=&#10;">
                      <v:fill on="f" focussize="0,0"/>
                      <v:stroke weight="2pt" color="#4F81BD [3204]" joinstyle="round"/>
                      <v:imagedata o:title=""/>
                      <o:lock v:ext="edit" aspectratio="f"/>
                      <v:textbox>
                        <w:txbxContent>
                          <w:p w14:paraId="590D153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z w:val="18"/>
                                <w:szCs w:val="18"/>
                                <w:lang w:val="en-US" w:eastAsia="zh-CN"/>
                              </w:rPr>
                            </w:pPr>
                            <w:r>
                              <w:rPr>
                                <w:rFonts w:hint="eastAsia"/>
                                <w:color w:val="auto"/>
                                <w:spacing w:val="0"/>
                                <w:position w:val="0"/>
                                <w:sz w:val="18"/>
                                <w:szCs w:val="18"/>
                                <w:lang w:val="en-US" w:eastAsia="zh-CN"/>
                              </w:rPr>
                              <w:t>抗氧化剂</w:t>
                            </w:r>
                          </w:p>
                        </w:txbxContent>
                      </v:textbox>
                    </v:rect>
                  </w:pict>
                </mc:Fallback>
              </mc:AlternateContent>
            </w:r>
          </w:p>
          <w:p w14:paraId="7C2235D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p>
          <w:p w14:paraId="7F1911E5">
            <w:pPr>
              <w:keepNext w:val="0"/>
              <w:keepLines w:val="0"/>
              <w:pageBreakBefore w:val="0"/>
              <w:widowControl w:val="0"/>
              <w:kinsoku/>
              <w:wordWrap/>
              <w:overflowPunct/>
              <w:topLinePunct w:val="0"/>
              <w:autoSpaceDE/>
              <w:autoSpaceDN/>
              <w:bidi w:val="0"/>
              <w:adjustRightInd/>
              <w:snapToGrid/>
              <w:ind w:firstLine="1890" w:firstLineChars="900"/>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 xml:space="preserve">图2-2  </w:t>
            </w:r>
            <w:r>
              <w:rPr>
                <w:rFonts w:hint="eastAsia"/>
                <w:color w:val="auto"/>
                <w:spacing w:val="0"/>
                <w:position w:val="0"/>
                <w:sz w:val="21"/>
                <w:szCs w:val="21"/>
                <w:lang w:val="en-US" w:eastAsia="zh-CN"/>
              </w:rPr>
              <w:t>PE打包带生产线物料平衡图</w:t>
            </w:r>
          </w:p>
          <w:p w14:paraId="0CD4C1E8">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kern w:val="2"/>
                <w:position w:val="0"/>
                <w:sz w:val="21"/>
                <w:szCs w:val="21"/>
                <w:lang w:val="en-US" w:eastAsia="zh-CN" w:bidi="ar-SA"/>
              </w:rPr>
              <w:t>（2）</w:t>
            </w:r>
            <w:r>
              <w:rPr>
                <w:rFonts w:hint="eastAsia"/>
                <w:b w:val="0"/>
                <w:bCs w:val="0"/>
                <w:color w:val="auto"/>
                <w:spacing w:val="0"/>
                <w:position w:val="0"/>
                <w:sz w:val="21"/>
                <w:szCs w:val="21"/>
                <w:lang w:val="en-US" w:eastAsia="zh-CN"/>
              </w:rPr>
              <w:t>能源</w:t>
            </w:r>
          </w:p>
          <w:p w14:paraId="4EF4C2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cs="Times New Roman"/>
                <w:b w:val="0"/>
                <w:bCs w:val="0"/>
                <w:color w:val="auto"/>
                <w:spacing w:val="0"/>
                <w:kern w:val="2"/>
                <w:position w:val="0"/>
                <w:sz w:val="21"/>
                <w:szCs w:val="21"/>
                <w:lang w:val="en-US" w:eastAsia="zh-CN" w:bidi="ar-SA"/>
              </w:rPr>
              <w:t>项目运行时，能源消耗主要为电和水，消耗情况详见表2-</w:t>
            </w:r>
            <w:r>
              <w:rPr>
                <w:rFonts w:hint="eastAsia" w:cs="Times New Roman"/>
                <w:b w:val="0"/>
                <w:bCs w:val="0"/>
                <w:color w:val="auto"/>
                <w:spacing w:val="0"/>
                <w:kern w:val="2"/>
                <w:position w:val="0"/>
                <w:sz w:val="21"/>
                <w:szCs w:val="21"/>
                <w:lang w:val="en-US" w:eastAsia="zh-CN" w:bidi="ar-SA"/>
              </w:rPr>
              <w:t>6</w:t>
            </w:r>
            <w:r>
              <w:rPr>
                <w:rFonts w:hint="default" w:ascii="Times New Roman" w:hAnsi="Times New Roman" w:eastAsia="宋体" w:cs="Times New Roman"/>
                <w:b w:val="0"/>
                <w:bCs w:val="0"/>
                <w:color w:val="auto"/>
                <w:spacing w:val="0"/>
                <w:kern w:val="2"/>
                <w:position w:val="0"/>
                <w:sz w:val="21"/>
                <w:szCs w:val="21"/>
                <w:lang w:val="en-US" w:eastAsia="zh-CN" w:bidi="ar-SA"/>
              </w:rPr>
              <w:t>。</w:t>
            </w:r>
          </w:p>
          <w:p w14:paraId="0C276EE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spacing w:val="0"/>
                <w:kern w:val="0"/>
                <w:position w:val="0"/>
                <w:sz w:val="21"/>
                <w:szCs w:val="21"/>
                <w:lang w:val="en-US" w:eastAsia="zh-CN"/>
              </w:rPr>
            </w:pPr>
            <w:r>
              <w:rPr>
                <w:rFonts w:hint="default" w:ascii="Times New Roman" w:hAnsi="Times New Roman" w:cs="Times New Roman"/>
                <w:b/>
                <w:snapToGrid w:val="0"/>
                <w:color w:val="auto"/>
                <w:spacing w:val="0"/>
                <w:kern w:val="0"/>
                <w:position w:val="0"/>
                <w:sz w:val="21"/>
                <w:szCs w:val="21"/>
                <w:lang w:val="en-US" w:eastAsia="zh-CN"/>
              </w:rPr>
              <w:t>表2-</w:t>
            </w:r>
            <w:r>
              <w:rPr>
                <w:rFonts w:hint="eastAsia" w:ascii="Times New Roman" w:hAnsi="Times New Roman" w:cs="Times New Roman"/>
                <w:b/>
                <w:snapToGrid w:val="0"/>
                <w:color w:val="auto"/>
                <w:spacing w:val="0"/>
                <w:kern w:val="0"/>
                <w:position w:val="0"/>
                <w:sz w:val="21"/>
                <w:szCs w:val="21"/>
                <w:lang w:val="en-US" w:eastAsia="zh-CN"/>
              </w:rPr>
              <w:t>6</w:t>
            </w:r>
            <w:r>
              <w:rPr>
                <w:rFonts w:hint="default" w:ascii="Times New Roman" w:hAnsi="Times New Roman" w:cs="Times New Roman"/>
                <w:b/>
                <w:snapToGrid w:val="0"/>
                <w:color w:val="auto"/>
                <w:spacing w:val="0"/>
                <w:kern w:val="0"/>
                <w:position w:val="0"/>
                <w:sz w:val="21"/>
                <w:szCs w:val="21"/>
                <w:lang w:val="en-US" w:eastAsia="zh-CN"/>
              </w:rPr>
              <w:t xml:space="preserve">    能源消耗</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53"/>
              <w:gridCol w:w="1713"/>
              <w:gridCol w:w="1484"/>
              <w:gridCol w:w="1950"/>
              <w:gridCol w:w="2253"/>
            </w:tblGrid>
            <w:tr w14:paraId="280A2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70" w:type="pct"/>
                  <w:tcBorders>
                    <w:tl2br w:val="nil"/>
                    <w:tr2bl w:val="nil"/>
                  </w:tcBorders>
                  <w:noWrap w:val="0"/>
                  <w:vAlign w:val="center"/>
                </w:tcPr>
                <w:p w14:paraId="7E0B2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序号</w:t>
                  </w:r>
                </w:p>
              </w:tc>
              <w:tc>
                <w:tcPr>
                  <w:tcW w:w="1025" w:type="pct"/>
                  <w:tcBorders>
                    <w:tl2br w:val="nil"/>
                    <w:tr2bl w:val="nil"/>
                  </w:tcBorders>
                  <w:noWrap w:val="0"/>
                  <w:vAlign w:val="center"/>
                </w:tcPr>
                <w:p w14:paraId="331D185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kern w:val="0"/>
                      <w:position w:val="0"/>
                      <w:sz w:val="21"/>
                      <w:szCs w:val="21"/>
                    </w:rPr>
                    <w:t>动能名称</w:t>
                  </w:r>
                </w:p>
              </w:tc>
              <w:tc>
                <w:tcPr>
                  <w:tcW w:w="888" w:type="pct"/>
                  <w:tcBorders>
                    <w:tl2br w:val="nil"/>
                    <w:tr2bl w:val="nil"/>
                  </w:tcBorders>
                  <w:noWrap w:val="0"/>
                  <w:vAlign w:val="center"/>
                </w:tcPr>
                <w:p w14:paraId="4DF59D0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kern w:val="0"/>
                      <w:position w:val="0"/>
                      <w:sz w:val="21"/>
                      <w:szCs w:val="21"/>
                    </w:rPr>
                    <w:t>计量单位</w:t>
                  </w:r>
                </w:p>
              </w:tc>
              <w:tc>
                <w:tcPr>
                  <w:tcW w:w="1167" w:type="pct"/>
                  <w:tcBorders>
                    <w:tl2br w:val="nil"/>
                    <w:tr2bl w:val="nil"/>
                  </w:tcBorders>
                  <w:noWrap w:val="0"/>
                  <w:vAlign w:val="center"/>
                </w:tcPr>
                <w:p w14:paraId="236BD32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kern w:val="0"/>
                      <w:position w:val="0"/>
                      <w:sz w:val="21"/>
                      <w:szCs w:val="21"/>
                    </w:rPr>
                    <w:t>年消耗量</w:t>
                  </w:r>
                </w:p>
              </w:tc>
              <w:tc>
                <w:tcPr>
                  <w:tcW w:w="1348" w:type="pct"/>
                  <w:tcBorders>
                    <w:tl2br w:val="nil"/>
                    <w:tr2bl w:val="nil"/>
                  </w:tcBorders>
                  <w:noWrap w:val="0"/>
                  <w:vAlign w:val="center"/>
                </w:tcPr>
                <w:p w14:paraId="654CB14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kern w:val="0"/>
                      <w:position w:val="0"/>
                      <w:sz w:val="21"/>
                      <w:szCs w:val="21"/>
                    </w:rPr>
                    <w:t>供给来源</w:t>
                  </w:r>
                </w:p>
              </w:tc>
            </w:tr>
            <w:tr w14:paraId="12E86B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 w:hRule="atLeast"/>
                <w:jc w:val="center"/>
              </w:trPr>
              <w:tc>
                <w:tcPr>
                  <w:tcW w:w="570" w:type="pct"/>
                  <w:tcBorders>
                    <w:tl2br w:val="nil"/>
                    <w:tr2bl w:val="nil"/>
                  </w:tcBorders>
                  <w:noWrap w:val="0"/>
                  <w:vAlign w:val="center"/>
                </w:tcPr>
                <w:p w14:paraId="351EE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cs="Times New Roman"/>
                      <w:color w:val="auto"/>
                      <w:spacing w:val="0"/>
                      <w:position w:val="0"/>
                      <w:sz w:val="21"/>
                      <w:szCs w:val="21"/>
                      <w:lang w:val="en-US" w:eastAsia="zh-CN"/>
                    </w:rPr>
                    <w:t>1</w:t>
                  </w:r>
                </w:p>
              </w:tc>
              <w:tc>
                <w:tcPr>
                  <w:tcW w:w="1025" w:type="pct"/>
                  <w:tcBorders>
                    <w:tl2br w:val="nil"/>
                    <w:tr2bl w:val="nil"/>
                  </w:tcBorders>
                  <w:noWrap w:val="0"/>
                  <w:vAlign w:val="center"/>
                </w:tcPr>
                <w:p w14:paraId="027ACA4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kern w:val="0"/>
                      <w:position w:val="0"/>
                      <w:sz w:val="21"/>
                      <w:szCs w:val="21"/>
                    </w:rPr>
                    <w:t>电</w:t>
                  </w:r>
                </w:p>
              </w:tc>
              <w:tc>
                <w:tcPr>
                  <w:tcW w:w="888" w:type="pct"/>
                  <w:tcBorders>
                    <w:tl2br w:val="nil"/>
                    <w:tr2bl w:val="nil"/>
                  </w:tcBorders>
                  <w:noWrap w:val="0"/>
                  <w:vAlign w:val="center"/>
                </w:tcPr>
                <w:p w14:paraId="7089F2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kern w:val="0"/>
                      <w:position w:val="0"/>
                      <w:sz w:val="21"/>
                      <w:szCs w:val="21"/>
                      <w:lang w:eastAsia="zh-CN"/>
                    </w:rPr>
                    <w:t>万</w:t>
                  </w:r>
                  <w:r>
                    <w:rPr>
                      <w:rFonts w:hint="default" w:ascii="Times New Roman" w:hAnsi="Times New Roman" w:cs="Times New Roman"/>
                      <w:color w:val="auto"/>
                      <w:spacing w:val="0"/>
                      <w:kern w:val="0"/>
                      <w:position w:val="0"/>
                      <w:sz w:val="21"/>
                      <w:szCs w:val="21"/>
                    </w:rPr>
                    <w:t>kW·h/a</w:t>
                  </w:r>
                </w:p>
              </w:tc>
              <w:tc>
                <w:tcPr>
                  <w:tcW w:w="1167" w:type="pct"/>
                  <w:tcBorders>
                    <w:tl2br w:val="nil"/>
                    <w:tr2bl w:val="nil"/>
                  </w:tcBorders>
                  <w:noWrap w:val="0"/>
                  <w:vAlign w:val="center"/>
                </w:tcPr>
                <w:p w14:paraId="2817768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200</w:t>
                  </w:r>
                </w:p>
              </w:tc>
              <w:tc>
                <w:tcPr>
                  <w:tcW w:w="1348" w:type="pct"/>
                  <w:tcBorders>
                    <w:tl2br w:val="nil"/>
                    <w:tr2bl w:val="nil"/>
                  </w:tcBorders>
                  <w:noWrap w:val="0"/>
                  <w:vAlign w:val="center"/>
                </w:tcPr>
                <w:p w14:paraId="7C011E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color w:val="auto"/>
                      <w:spacing w:val="0"/>
                      <w:position w:val="0"/>
                      <w:sz w:val="21"/>
                      <w:szCs w:val="21"/>
                    </w:rPr>
                  </w:pPr>
                  <w:r>
                    <w:rPr>
                      <w:rFonts w:hint="eastAsia" w:ascii="Times New Roman" w:hAnsi="Times New Roman" w:cs="Times New Roman"/>
                      <w:color w:val="auto"/>
                      <w:spacing w:val="0"/>
                      <w:kern w:val="0"/>
                      <w:position w:val="0"/>
                      <w:sz w:val="21"/>
                      <w:szCs w:val="21"/>
                      <w:lang w:val="en-US" w:eastAsia="zh-CN"/>
                    </w:rPr>
                    <w:t>国家</w:t>
                  </w:r>
                  <w:r>
                    <w:rPr>
                      <w:rFonts w:hint="default" w:ascii="Times New Roman" w:hAnsi="Times New Roman" w:cs="Times New Roman"/>
                      <w:color w:val="auto"/>
                      <w:spacing w:val="0"/>
                      <w:kern w:val="0"/>
                      <w:position w:val="0"/>
                      <w:sz w:val="21"/>
                      <w:szCs w:val="21"/>
                    </w:rPr>
                    <w:t>电网</w:t>
                  </w:r>
                </w:p>
              </w:tc>
            </w:tr>
            <w:tr w14:paraId="616235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70" w:type="pct"/>
                  <w:tcBorders>
                    <w:tl2br w:val="nil"/>
                    <w:tr2bl w:val="nil"/>
                  </w:tcBorders>
                  <w:noWrap w:val="0"/>
                  <w:vAlign w:val="center"/>
                </w:tcPr>
                <w:p w14:paraId="457C1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cs="Times New Roman"/>
                      <w:color w:val="auto"/>
                      <w:spacing w:val="0"/>
                      <w:position w:val="0"/>
                      <w:sz w:val="21"/>
                      <w:szCs w:val="21"/>
                      <w:lang w:val="en-US" w:eastAsia="zh-CN"/>
                    </w:rPr>
                    <w:t>2</w:t>
                  </w:r>
                </w:p>
              </w:tc>
              <w:tc>
                <w:tcPr>
                  <w:tcW w:w="1025" w:type="pct"/>
                  <w:tcBorders>
                    <w:tl2br w:val="nil"/>
                    <w:tr2bl w:val="nil"/>
                  </w:tcBorders>
                  <w:noWrap w:val="0"/>
                  <w:vAlign w:val="center"/>
                </w:tcPr>
                <w:p w14:paraId="1454AB2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kern w:val="0"/>
                      <w:position w:val="0"/>
                      <w:sz w:val="21"/>
                      <w:szCs w:val="21"/>
                    </w:rPr>
                    <w:t>自来水</w:t>
                  </w:r>
                </w:p>
              </w:tc>
              <w:tc>
                <w:tcPr>
                  <w:tcW w:w="888" w:type="pct"/>
                  <w:tcBorders>
                    <w:tl2br w:val="nil"/>
                    <w:tr2bl w:val="nil"/>
                  </w:tcBorders>
                  <w:noWrap w:val="0"/>
                  <w:vAlign w:val="center"/>
                </w:tcPr>
                <w:p w14:paraId="43ABAEF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m</w:t>
                  </w:r>
                  <w:r>
                    <w:rPr>
                      <w:rFonts w:hint="default" w:ascii="Times New Roman" w:hAnsi="Times New Roman" w:cs="Times New Roman"/>
                      <w:color w:val="auto"/>
                      <w:spacing w:val="0"/>
                      <w:position w:val="0"/>
                      <w:sz w:val="21"/>
                      <w:szCs w:val="21"/>
                      <w:vertAlign w:val="superscript"/>
                    </w:rPr>
                    <w:t>3</w:t>
                  </w:r>
                  <w:r>
                    <w:rPr>
                      <w:rFonts w:hint="default" w:ascii="Times New Roman" w:hAnsi="Times New Roman" w:cs="Times New Roman"/>
                      <w:color w:val="auto"/>
                      <w:spacing w:val="0"/>
                      <w:position w:val="0"/>
                      <w:sz w:val="21"/>
                      <w:szCs w:val="21"/>
                    </w:rPr>
                    <w:t>/a</w:t>
                  </w:r>
                </w:p>
              </w:tc>
              <w:tc>
                <w:tcPr>
                  <w:tcW w:w="1167" w:type="pct"/>
                  <w:tcBorders>
                    <w:tl2br w:val="nil"/>
                    <w:tr2bl w:val="nil"/>
                  </w:tcBorders>
                  <w:noWrap w:val="0"/>
                  <w:vAlign w:val="center"/>
                </w:tcPr>
                <w:p w14:paraId="7512CDA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336</w:t>
                  </w:r>
                </w:p>
              </w:tc>
              <w:tc>
                <w:tcPr>
                  <w:tcW w:w="1348" w:type="pct"/>
                  <w:tcBorders>
                    <w:tl2br w:val="nil"/>
                    <w:tr2bl w:val="nil"/>
                  </w:tcBorders>
                  <w:noWrap w:val="0"/>
                  <w:vAlign w:val="center"/>
                </w:tcPr>
                <w:p w14:paraId="5850C51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厂区管网</w:t>
                  </w:r>
                </w:p>
              </w:tc>
            </w:tr>
          </w:tbl>
          <w:p w14:paraId="5A1C3E8E">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rFonts w:hint="eastAsia"/>
                <w:b/>
                <w:color w:val="auto"/>
                <w:spacing w:val="0"/>
                <w:position w:val="0"/>
                <w:sz w:val="21"/>
                <w:szCs w:val="21"/>
                <w:lang w:val="en-US" w:eastAsia="zh-CN"/>
              </w:rPr>
            </w:pPr>
            <w:r>
              <w:rPr>
                <w:rFonts w:hint="eastAsia"/>
                <w:b/>
                <w:color w:val="auto"/>
                <w:spacing w:val="0"/>
                <w:position w:val="0"/>
                <w:sz w:val="21"/>
                <w:szCs w:val="21"/>
                <w:lang w:val="en-US" w:eastAsia="zh-CN"/>
              </w:rPr>
              <w:t>4产品方案</w:t>
            </w:r>
          </w:p>
          <w:p w14:paraId="11A130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pacing w:val="0"/>
                <w:position w:val="0"/>
                <w:sz w:val="21"/>
                <w:szCs w:val="21"/>
                <w:shd w:val="clear" w:color="auto" w:fill="auto"/>
                <w:lang w:val="en-US" w:eastAsia="zh-CN"/>
              </w:rPr>
            </w:pPr>
            <w:r>
              <w:rPr>
                <w:rFonts w:hint="default" w:ascii="Times New Roman" w:hAnsi="Times New Roman" w:eastAsia="宋体" w:cs="Times New Roman"/>
                <w:color w:val="auto"/>
                <w:spacing w:val="0"/>
                <w:position w:val="0"/>
                <w:sz w:val="21"/>
                <w:szCs w:val="21"/>
                <w:shd w:val="clear" w:color="auto" w:fill="auto"/>
                <w:lang w:val="en-US" w:eastAsia="zh-CN"/>
              </w:rPr>
              <w:t>本项目</w:t>
            </w:r>
            <w:r>
              <w:rPr>
                <w:rFonts w:hint="default" w:ascii="Times New Roman" w:hAnsi="Times New Roman" w:cs="Times New Roman"/>
                <w:color w:val="auto"/>
                <w:spacing w:val="0"/>
                <w:position w:val="0"/>
                <w:sz w:val="21"/>
                <w:szCs w:val="21"/>
                <w:shd w:val="clear" w:color="auto" w:fill="auto"/>
                <w:lang w:val="en-US" w:eastAsia="zh-CN"/>
              </w:rPr>
              <w:t>主要产品</w:t>
            </w:r>
            <w:r>
              <w:rPr>
                <w:rFonts w:hint="default" w:ascii="Times New Roman" w:hAnsi="Times New Roman" w:cs="Times New Roman"/>
                <w:b w:val="0"/>
                <w:bCs w:val="0"/>
                <w:color w:val="auto"/>
                <w:spacing w:val="0"/>
                <w:position w:val="0"/>
                <w:sz w:val="21"/>
                <w:szCs w:val="21"/>
                <w:shd w:val="clear" w:color="auto" w:fill="auto"/>
                <w:lang w:val="en-US" w:eastAsia="zh-CN"/>
              </w:rPr>
              <w:t>为</w:t>
            </w:r>
            <w:r>
              <w:rPr>
                <w:rFonts w:hint="eastAsia" w:cs="Times New Roman"/>
                <w:b w:val="0"/>
                <w:bCs w:val="0"/>
                <w:color w:val="auto"/>
                <w:spacing w:val="0"/>
                <w:position w:val="0"/>
                <w:sz w:val="21"/>
                <w:szCs w:val="21"/>
                <w:shd w:val="clear" w:color="auto" w:fill="auto"/>
                <w:lang w:val="en-US" w:eastAsia="zh-CN"/>
              </w:rPr>
              <w:t>管件</w:t>
            </w:r>
            <w:r>
              <w:rPr>
                <w:rFonts w:hint="eastAsia" w:ascii="Times New Roman" w:hAnsi="Times New Roman" w:eastAsia="宋体" w:cs="Times New Roman"/>
                <w:b w:val="0"/>
                <w:bCs w:val="0"/>
                <w:snapToGrid w:val="0"/>
                <w:color w:val="auto"/>
                <w:spacing w:val="0"/>
                <w:kern w:val="0"/>
                <w:position w:val="0"/>
                <w:sz w:val="21"/>
                <w:szCs w:val="21"/>
                <w:lang w:val="en-US" w:eastAsia="zh-CN"/>
              </w:rPr>
              <w:t>、</w:t>
            </w:r>
            <w:r>
              <w:rPr>
                <w:rFonts w:hint="eastAsia" w:cs="Times New Roman"/>
                <w:b w:val="0"/>
                <w:bCs w:val="0"/>
                <w:snapToGrid w:val="0"/>
                <w:color w:val="auto"/>
                <w:spacing w:val="0"/>
                <w:kern w:val="0"/>
                <w:position w:val="0"/>
                <w:sz w:val="21"/>
                <w:szCs w:val="21"/>
                <w:lang w:val="en-US" w:eastAsia="zh-CN"/>
              </w:rPr>
              <w:t>打包带</w:t>
            </w:r>
            <w:r>
              <w:rPr>
                <w:rFonts w:hint="default" w:ascii="Times New Roman" w:hAnsi="Times New Roman" w:cs="Times New Roman"/>
                <w:b w:val="0"/>
                <w:bCs w:val="0"/>
                <w:color w:val="auto"/>
                <w:spacing w:val="0"/>
                <w:position w:val="0"/>
                <w:sz w:val="21"/>
                <w:szCs w:val="21"/>
                <w:shd w:val="clear" w:color="auto" w:fill="auto"/>
                <w:lang w:val="en-US" w:eastAsia="zh-CN"/>
              </w:rPr>
              <w:t>，产品直接装入</w:t>
            </w:r>
            <w:r>
              <w:rPr>
                <w:rFonts w:hint="eastAsia" w:ascii="Times New Roman" w:hAnsi="Times New Roman" w:cs="Times New Roman"/>
                <w:b w:val="0"/>
                <w:bCs w:val="0"/>
                <w:color w:val="auto"/>
                <w:spacing w:val="0"/>
                <w:position w:val="0"/>
                <w:sz w:val="21"/>
                <w:szCs w:val="21"/>
                <w:shd w:val="clear" w:color="auto" w:fill="auto"/>
                <w:lang w:val="en-US" w:eastAsia="zh-CN"/>
              </w:rPr>
              <w:t>编织袋进行外售，</w:t>
            </w:r>
            <w:r>
              <w:rPr>
                <w:rFonts w:hint="default" w:ascii="Times New Roman" w:hAnsi="Times New Roman" w:eastAsia="宋体" w:cs="Times New Roman"/>
                <w:b w:val="0"/>
                <w:bCs w:val="0"/>
                <w:color w:val="auto"/>
                <w:spacing w:val="0"/>
                <w:position w:val="0"/>
                <w:sz w:val="21"/>
                <w:szCs w:val="21"/>
                <w:shd w:val="clear" w:color="auto" w:fill="auto"/>
                <w:lang w:val="en-US" w:eastAsia="zh-CN"/>
              </w:rPr>
              <w:t>主要产品</w:t>
            </w:r>
            <w:r>
              <w:rPr>
                <w:rFonts w:hint="default" w:ascii="Times New Roman" w:hAnsi="Times New Roman" w:cs="Times New Roman"/>
                <w:b w:val="0"/>
                <w:bCs w:val="0"/>
                <w:color w:val="auto"/>
                <w:spacing w:val="0"/>
                <w:position w:val="0"/>
                <w:sz w:val="21"/>
                <w:szCs w:val="21"/>
                <w:shd w:val="clear" w:color="auto" w:fill="auto"/>
                <w:lang w:val="en-US" w:eastAsia="zh-CN"/>
              </w:rPr>
              <w:t>及产量</w:t>
            </w:r>
            <w:r>
              <w:rPr>
                <w:rFonts w:hint="default" w:ascii="Times New Roman" w:hAnsi="Times New Roman" w:eastAsia="宋体" w:cs="Times New Roman"/>
                <w:b w:val="0"/>
                <w:bCs w:val="0"/>
                <w:color w:val="auto"/>
                <w:spacing w:val="0"/>
                <w:position w:val="0"/>
                <w:sz w:val="21"/>
                <w:szCs w:val="21"/>
                <w:shd w:val="clear" w:color="auto" w:fill="auto"/>
                <w:lang w:val="en-US" w:eastAsia="zh-CN"/>
              </w:rPr>
              <w:t>见表</w:t>
            </w:r>
            <w:r>
              <w:rPr>
                <w:rFonts w:hint="default" w:ascii="Times New Roman" w:hAnsi="Times New Roman" w:cs="Times New Roman"/>
                <w:b w:val="0"/>
                <w:bCs w:val="0"/>
                <w:color w:val="auto"/>
                <w:spacing w:val="0"/>
                <w:position w:val="0"/>
                <w:sz w:val="21"/>
                <w:szCs w:val="21"/>
                <w:shd w:val="clear" w:color="auto" w:fill="auto"/>
                <w:lang w:val="en-US" w:eastAsia="zh-CN"/>
              </w:rPr>
              <w:t>2-</w:t>
            </w:r>
            <w:r>
              <w:rPr>
                <w:rFonts w:hint="eastAsia" w:cs="Times New Roman"/>
                <w:b w:val="0"/>
                <w:bCs w:val="0"/>
                <w:color w:val="auto"/>
                <w:spacing w:val="0"/>
                <w:position w:val="0"/>
                <w:sz w:val="21"/>
                <w:szCs w:val="21"/>
                <w:shd w:val="clear" w:color="auto" w:fill="auto"/>
                <w:lang w:val="en-US" w:eastAsia="zh-CN"/>
              </w:rPr>
              <w:t>7</w:t>
            </w:r>
            <w:r>
              <w:rPr>
                <w:rFonts w:hint="default" w:ascii="Times New Roman" w:hAnsi="Times New Roman" w:cs="Times New Roman"/>
                <w:color w:val="auto"/>
                <w:spacing w:val="0"/>
                <w:position w:val="0"/>
                <w:sz w:val="21"/>
                <w:szCs w:val="21"/>
                <w:shd w:val="clear" w:color="auto" w:fill="auto"/>
                <w:lang w:val="en-US" w:eastAsia="zh-CN"/>
              </w:rPr>
              <w:t>。</w:t>
            </w:r>
          </w:p>
          <w:p w14:paraId="1254B76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表2-</w:t>
            </w:r>
            <w:r>
              <w:rPr>
                <w:rFonts w:hint="eastAsia" w:ascii="Times New Roman" w:hAnsi="Times New Roman" w:cs="Times New Roman"/>
                <w:b/>
                <w:snapToGrid w:val="0"/>
                <w:color w:val="auto"/>
                <w:spacing w:val="0"/>
                <w:kern w:val="0"/>
                <w:position w:val="0"/>
                <w:sz w:val="21"/>
                <w:szCs w:val="21"/>
                <w:lang w:val="en-US" w:eastAsia="zh-CN"/>
              </w:rPr>
              <w:t>7</w:t>
            </w:r>
            <w:r>
              <w:rPr>
                <w:rFonts w:hint="default" w:ascii="Times New Roman" w:hAnsi="Times New Roman" w:eastAsia="宋体" w:cs="Times New Roman"/>
                <w:b/>
                <w:snapToGrid w:val="0"/>
                <w:color w:val="auto"/>
                <w:spacing w:val="0"/>
                <w:kern w:val="0"/>
                <w:position w:val="0"/>
                <w:sz w:val="21"/>
                <w:szCs w:val="21"/>
                <w:lang w:val="en-US" w:eastAsia="zh-CN"/>
              </w:rPr>
              <w:t xml:space="preserve">   本项目产品方案一览表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35"/>
              <w:gridCol w:w="2393"/>
              <w:gridCol w:w="1942"/>
              <w:gridCol w:w="1083"/>
            </w:tblGrid>
            <w:tr w14:paraId="007F9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1756" w:type="pct"/>
                  <w:tcBorders>
                    <w:tl2br w:val="nil"/>
                    <w:tr2bl w:val="nil"/>
                  </w:tcBorders>
                  <w:noWrap w:val="0"/>
                  <w:vAlign w:val="center"/>
                </w:tcPr>
                <w:p w14:paraId="26A6DA0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default" w:ascii="Times New Roman" w:hAnsi="Times New Roman" w:eastAsia="宋体" w:cs="Times New Roman"/>
                      <w:b w:val="0"/>
                      <w:bCs/>
                      <w:snapToGrid w:val="0"/>
                      <w:color w:val="auto"/>
                      <w:spacing w:val="0"/>
                      <w:kern w:val="0"/>
                      <w:position w:val="0"/>
                      <w:sz w:val="21"/>
                      <w:szCs w:val="21"/>
                      <w:lang w:val="en-US" w:eastAsia="zh-CN"/>
                    </w:rPr>
                    <w:t>名称</w:t>
                  </w:r>
                </w:p>
              </w:tc>
              <w:tc>
                <w:tcPr>
                  <w:tcW w:w="1432" w:type="pct"/>
                  <w:tcBorders>
                    <w:tl2br w:val="nil"/>
                    <w:tr2bl w:val="nil"/>
                  </w:tcBorders>
                  <w:noWrap w:val="0"/>
                  <w:vAlign w:val="center"/>
                </w:tcPr>
                <w:p w14:paraId="49E5877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default" w:ascii="Times New Roman" w:hAnsi="Times New Roman" w:eastAsia="宋体" w:cs="Times New Roman"/>
                      <w:b w:val="0"/>
                      <w:bCs/>
                      <w:snapToGrid w:val="0"/>
                      <w:color w:val="auto"/>
                      <w:spacing w:val="0"/>
                      <w:kern w:val="0"/>
                      <w:position w:val="0"/>
                      <w:sz w:val="21"/>
                      <w:szCs w:val="21"/>
                      <w:lang w:val="en-US" w:eastAsia="zh-CN"/>
                    </w:rPr>
                    <w:t>产品产量</w:t>
                  </w:r>
                </w:p>
              </w:tc>
              <w:tc>
                <w:tcPr>
                  <w:tcW w:w="1162" w:type="pct"/>
                  <w:tcBorders>
                    <w:tl2br w:val="nil"/>
                    <w:tr2bl w:val="nil"/>
                  </w:tcBorders>
                  <w:noWrap w:val="0"/>
                  <w:vAlign w:val="center"/>
                </w:tcPr>
                <w:p w14:paraId="71275F88">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default" w:ascii="Times New Roman" w:hAnsi="Times New Roman" w:eastAsia="宋体" w:cs="Times New Roman"/>
                      <w:b w:val="0"/>
                      <w:bCs/>
                      <w:snapToGrid w:val="0"/>
                      <w:color w:val="auto"/>
                      <w:spacing w:val="0"/>
                      <w:kern w:val="0"/>
                      <w:position w:val="0"/>
                      <w:sz w:val="21"/>
                      <w:szCs w:val="21"/>
                      <w:lang w:val="en-US" w:eastAsia="zh-CN"/>
                    </w:rPr>
                    <w:t>运输</w:t>
                  </w:r>
                </w:p>
              </w:tc>
              <w:tc>
                <w:tcPr>
                  <w:tcW w:w="648" w:type="pct"/>
                  <w:tcBorders>
                    <w:tl2br w:val="nil"/>
                    <w:tr2bl w:val="nil"/>
                  </w:tcBorders>
                  <w:noWrap w:val="0"/>
                  <w:vAlign w:val="center"/>
                </w:tcPr>
                <w:p w14:paraId="6858B909">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cs="Times New Roman"/>
                      <w:b w:val="0"/>
                      <w:bCs/>
                      <w:snapToGrid w:val="0"/>
                      <w:color w:val="auto"/>
                      <w:spacing w:val="0"/>
                      <w:kern w:val="0"/>
                      <w:position w:val="0"/>
                      <w:sz w:val="21"/>
                      <w:szCs w:val="21"/>
                      <w:lang w:val="en-US" w:eastAsia="zh-CN"/>
                    </w:rPr>
                    <w:t>备注</w:t>
                  </w:r>
                </w:p>
              </w:tc>
            </w:tr>
            <w:tr w14:paraId="6CCF5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6" w:type="pct"/>
                  <w:tcBorders>
                    <w:tl2br w:val="nil"/>
                    <w:tr2bl w:val="nil"/>
                  </w:tcBorders>
                  <w:noWrap w:val="0"/>
                  <w:vAlign w:val="center"/>
                </w:tcPr>
                <w:p w14:paraId="517548C1">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PP</w:t>
                  </w:r>
                  <w:r>
                    <w:rPr>
                      <w:rFonts w:hint="eastAsia" w:ascii="Times New Roman" w:hAnsi="Times New Roman" w:cs="Times New Roman"/>
                      <w:b w:val="0"/>
                      <w:bCs/>
                      <w:snapToGrid w:val="0"/>
                      <w:color w:val="auto"/>
                      <w:spacing w:val="0"/>
                      <w:kern w:val="0"/>
                      <w:position w:val="0"/>
                      <w:sz w:val="21"/>
                      <w:szCs w:val="21"/>
                      <w:lang w:val="en-US" w:eastAsia="zh-CN"/>
                    </w:rPr>
                    <w:t>管件</w:t>
                  </w:r>
                </w:p>
              </w:tc>
              <w:tc>
                <w:tcPr>
                  <w:tcW w:w="1432" w:type="pct"/>
                  <w:tcBorders>
                    <w:tl2br w:val="nil"/>
                    <w:tr2bl w:val="nil"/>
                  </w:tcBorders>
                  <w:noWrap w:val="0"/>
                  <w:vAlign w:val="center"/>
                </w:tcPr>
                <w:p w14:paraId="57B93A6E">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2000</w:t>
                  </w:r>
                  <w:r>
                    <w:rPr>
                      <w:rFonts w:hint="default" w:ascii="Times New Roman" w:hAnsi="Times New Roman" w:eastAsia="宋体" w:cs="Times New Roman"/>
                      <w:b w:val="0"/>
                      <w:bCs/>
                      <w:snapToGrid w:val="0"/>
                      <w:color w:val="auto"/>
                      <w:spacing w:val="0"/>
                      <w:kern w:val="0"/>
                      <w:position w:val="0"/>
                      <w:sz w:val="21"/>
                      <w:szCs w:val="21"/>
                      <w:lang w:val="en-US" w:eastAsia="zh-CN"/>
                    </w:rPr>
                    <w:t>t/a</w:t>
                  </w:r>
                </w:p>
              </w:tc>
              <w:tc>
                <w:tcPr>
                  <w:tcW w:w="1162" w:type="pct"/>
                  <w:tcBorders>
                    <w:tl2br w:val="nil"/>
                    <w:tr2bl w:val="nil"/>
                  </w:tcBorders>
                  <w:noWrap w:val="0"/>
                  <w:vAlign w:val="center"/>
                </w:tcPr>
                <w:p w14:paraId="36E83F5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卡车运输</w:t>
                  </w:r>
                </w:p>
              </w:tc>
              <w:tc>
                <w:tcPr>
                  <w:tcW w:w="648" w:type="pct"/>
                  <w:tcBorders>
                    <w:tl2br w:val="nil"/>
                    <w:tr2bl w:val="nil"/>
                  </w:tcBorders>
                  <w:noWrap w:val="0"/>
                  <w:vAlign w:val="center"/>
                </w:tcPr>
                <w:p w14:paraId="66F80EA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cs="Times New Roman"/>
                      <w:b w:val="0"/>
                      <w:bCs/>
                      <w:snapToGrid w:val="0"/>
                      <w:color w:val="auto"/>
                      <w:spacing w:val="0"/>
                      <w:kern w:val="0"/>
                      <w:position w:val="0"/>
                      <w:sz w:val="21"/>
                      <w:szCs w:val="21"/>
                      <w:lang w:val="en-US" w:eastAsia="zh-CN"/>
                    </w:rPr>
                    <w:t>外售</w:t>
                  </w:r>
                </w:p>
              </w:tc>
            </w:tr>
            <w:tr w14:paraId="3D092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756" w:type="pct"/>
                  <w:tcBorders>
                    <w:tl2br w:val="nil"/>
                    <w:tr2bl w:val="nil"/>
                  </w:tcBorders>
                  <w:noWrap w:val="0"/>
                  <w:vAlign w:val="center"/>
                </w:tcPr>
                <w:p w14:paraId="21820DF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PVC</w:t>
                  </w:r>
                  <w:r>
                    <w:rPr>
                      <w:rFonts w:hint="eastAsia" w:ascii="Times New Roman" w:hAnsi="Times New Roman" w:cs="Times New Roman"/>
                      <w:b w:val="0"/>
                      <w:bCs/>
                      <w:snapToGrid w:val="0"/>
                      <w:color w:val="auto"/>
                      <w:spacing w:val="0"/>
                      <w:kern w:val="0"/>
                      <w:position w:val="0"/>
                      <w:sz w:val="21"/>
                      <w:szCs w:val="21"/>
                      <w:lang w:val="en-US" w:eastAsia="zh-CN"/>
                    </w:rPr>
                    <w:t>管件</w:t>
                  </w:r>
                </w:p>
              </w:tc>
              <w:tc>
                <w:tcPr>
                  <w:tcW w:w="1432" w:type="pct"/>
                  <w:tcBorders>
                    <w:tl2br w:val="nil"/>
                    <w:tr2bl w:val="nil"/>
                  </w:tcBorders>
                  <w:noWrap w:val="0"/>
                  <w:vAlign w:val="center"/>
                </w:tcPr>
                <w:p w14:paraId="73A93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1000</w:t>
                  </w:r>
                  <w:r>
                    <w:rPr>
                      <w:rFonts w:hint="default" w:ascii="Times New Roman" w:hAnsi="Times New Roman" w:eastAsia="宋体" w:cs="Times New Roman"/>
                      <w:b w:val="0"/>
                      <w:bCs/>
                      <w:snapToGrid w:val="0"/>
                      <w:color w:val="auto"/>
                      <w:spacing w:val="0"/>
                      <w:kern w:val="0"/>
                      <w:position w:val="0"/>
                      <w:sz w:val="21"/>
                      <w:szCs w:val="21"/>
                      <w:lang w:val="en-US" w:eastAsia="zh-CN"/>
                    </w:rPr>
                    <w:t>t/a</w:t>
                  </w:r>
                </w:p>
              </w:tc>
              <w:tc>
                <w:tcPr>
                  <w:tcW w:w="1162" w:type="pct"/>
                  <w:tcBorders>
                    <w:tl2br w:val="nil"/>
                    <w:tr2bl w:val="nil"/>
                  </w:tcBorders>
                  <w:noWrap w:val="0"/>
                  <w:vAlign w:val="center"/>
                </w:tcPr>
                <w:p w14:paraId="05DB3F4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卡车运输</w:t>
                  </w:r>
                </w:p>
              </w:tc>
              <w:tc>
                <w:tcPr>
                  <w:tcW w:w="648" w:type="pct"/>
                  <w:tcBorders>
                    <w:tl2br w:val="nil"/>
                    <w:tr2bl w:val="nil"/>
                  </w:tcBorders>
                  <w:noWrap w:val="0"/>
                  <w:vAlign w:val="center"/>
                </w:tcPr>
                <w:p w14:paraId="7DAD0B57">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cs="Times New Roman"/>
                      <w:b w:val="0"/>
                      <w:bCs/>
                      <w:snapToGrid w:val="0"/>
                      <w:color w:val="auto"/>
                      <w:spacing w:val="0"/>
                      <w:kern w:val="0"/>
                      <w:position w:val="0"/>
                      <w:sz w:val="21"/>
                      <w:szCs w:val="21"/>
                      <w:lang w:val="en-US" w:eastAsia="zh-CN"/>
                    </w:rPr>
                    <w:t>外售</w:t>
                  </w:r>
                </w:p>
              </w:tc>
            </w:tr>
            <w:tr w14:paraId="60D29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6" w:type="pct"/>
                  <w:tcBorders>
                    <w:tl2br w:val="nil"/>
                    <w:tr2bl w:val="nil"/>
                  </w:tcBorders>
                  <w:noWrap w:val="0"/>
                  <w:vAlign w:val="center"/>
                </w:tcPr>
                <w:p w14:paraId="6256AE42">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cs="Times New Roman"/>
                      <w:b w:val="0"/>
                      <w:bCs/>
                      <w:snapToGrid w:val="0"/>
                      <w:color w:val="auto"/>
                      <w:spacing w:val="0"/>
                      <w:kern w:val="0"/>
                      <w:position w:val="0"/>
                      <w:sz w:val="21"/>
                      <w:szCs w:val="21"/>
                      <w:lang w:val="en-US" w:eastAsia="zh-CN"/>
                    </w:rPr>
                    <w:t>打包带</w:t>
                  </w:r>
                </w:p>
              </w:tc>
              <w:tc>
                <w:tcPr>
                  <w:tcW w:w="1432" w:type="pct"/>
                  <w:tcBorders>
                    <w:tl2br w:val="nil"/>
                    <w:tr2bl w:val="nil"/>
                  </w:tcBorders>
                  <w:noWrap w:val="0"/>
                  <w:vAlign w:val="center"/>
                </w:tcPr>
                <w:p w14:paraId="722159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2000</w:t>
                  </w:r>
                  <w:r>
                    <w:rPr>
                      <w:rFonts w:hint="default" w:ascii="Times New Roman" w:hAnsi="Times New Roman" w:eastAsia="宋体" w:cs="Times New Roman"/>
                      <w:b w:val="0"/>
                      <w:bCs/>
                      <w:snapToGrid w:val="0"/>
                      <w:color w:val="auto"/>
                      <w:spacing w:val="0"/>
                      <w:kern w:val="0"/>
                      <w:position w:val="0"/>
                      <w:sz w:val="21"/>
                      <w:szCs w:val="21"/>
                      <w:lang w:val="en-US" w:eastAsia="zh-CN"/>
                    </w:rPr>
                    <w:t>t/a</w:t>
                  </w:r>
                </w:p>
              </w:tc>
              <w:tc>
                <w:tcPr>
                  <w:tcW w:w="1162" w:type="pct"/>
                  <w:tcBorders>
                    <w:tl2br w:val="nil"/>
                    <w:tr2bl w:val="nil"/>
                  </w:tcBorders>
                  <w:noWrap w:val="0"/>
                  <w:vAlign w:val="center"/>
                </w:tcPr>
                <w:p w14:paraId="67F7EF25">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eastAsia="宋体" w:cs="Times New Roman"/>
                      <w:b w:val="0"/>
                      <w:bCs/>
                      <w:snapToGrid w:val="0"/>
                      <w:color w:val="auto"/>
                      <w:spacing w:val="0"/>
                      <w:kern w:val="0"/>
                      <w:position w:val="0"/>
                      <w:sz w:val="21"/>
                      <w:szCs w:val="21"/>
                      <w:lang w:val="en-US" w:eastAsia="zh-CN"/>
                    </w:rPr>
                    <w:t>卡车运输</w:t>
                  </w:r>
                </w:p>
              </w:tc>
              <w:tc>
                <w:tcPr>
                  <w:tcW w:w="648" w:type="pct"/>
                  <w:tcBorders>
                    <w:tl2br w:val="nil"/>
                    <w:tr2bl w:val="nil"/>
                  </w:tcBorders>
                  <w:noWrap w:val="0"/>
                  <w:vAlign w:val="center"/>
                </w:tcPr>
                <w:p w14:paraId="75087BBC">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spacing w:val="0"/>
                      <w:kern w:val="0"/>
                      <w:position w:val="0"/>
                      <w:sz w:val="21"/>
                      <w:szCs w:val="21"/>
                      <w:lang w:val="en-US" w:eastAsia="zh-CN"/>
                    </w:rPr>
                  </w:pPr>
                  <w:r>
                    <w:rPr>
                      <w:rFonts w:hint="eastAsia" w:ascii="Times New Roman" w:hAnsi="Times New Roman" w:cs="Times New Roman"/>
                      <w:b w:val="0"/>
                      <w:bCs/>
                      <w:snapToGrid w:val="0"/>
                      <w:color w:val="auto"/>
                      <w:spacing w:val="0"/>
                      <w:kern w:val="0"/>
                      <w:position w:val="0"/>
                      <w:sz w:val="21"/>
                      <w:szCs w:val="21"/>
                      <w:lang w:val="en-US" w:eastAsia="zh-CN"/>
                    </w:rPr>
                    <w:t>外售</w:t>
                  </w:r>
                </w:p>
              </w:tc>
            </w:tr>
          </w:tbl>
          <w:p w14:paraId="6960A3B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color w:val="auto"/>
                <w:spacing w:val="0"/>
                <w:position w:val="0"/>
                <w:sz w:val="21"/>
                <w:szCs w:val="21"/>
              </w:rPr>
            </w:pPr>
            <w:r>
              <w:rPr>
                <w:rFonts w:hint="eastAsia"/>
                <w:b/>
                <w:bCs/>
                <w:color w:val="auto"/>
                <w:spacing w:val="0"/>
                <w:position w:val="0"/>
                <w:sz w:val="21"/>
                <w:szCs w:val="21"/>
                <w:lang w:val="en-US" w:eastAsia="zh-CN"/>
              </w:rPr>
              <w:t>5总</w:t>
            </w:r>
            <w:r>
              <w:rPr>
                <w:b/>
                <w:color w:val="auto"/>
                <w:spacing w:val="0"/>
                <w:position w:val="0"/>
                <w:sz w:val="21"/>
                <w:szCs w:val="21"/>
              </w:rPr>
              <w:t>平面布置</w:t>
            </w:r>
          </w:p>
          <w:p w14:paraId="2ED5BF3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olor w:val="auto"/>
                <w:spacing w:val="0"/>
                <w:position w:val="0"/>
                <w:sz w:val="21"/>
                <w:szCs w:val="21"/>
                <w:lang w:eastAsia="zh-CN"/>
              </w:rPr>
            </w:pPr>
            <w:r>
              <w:rPr>
                <w:rFonts w:hint="eastAsia"/>
                <w:color w:val="auto"/>
                <w:spacing w:val="0"/>
                <w:position w:val="0"/>
                <w:sz w:val="21"/>
                <w:szCs w:val="21"/>
              </w:rPr>
              <w:t>（1）</w:t>
            </w:r>
            <w:r>
              <w:rPr>
                <w:rFonts w:hint="eastAsia"/>
                <w:color w:val="auto"/>
                <w:spacing w:val="0"/>
                <w:position w:val="0"/>
                <w:sz w:val="21"/>
                <w:szCs w:val="21"/>
                <w:lang w:val="en-US" w:eastAsia="zh-CN"/>
              </w:rPr>
              <w:t>总平面布置</w:t>
            </w:r>
          </w:p>
          <w:p w14:paraId="7662ABB1">
            <w:pPr>
              <w:pStyle w:val="6"/>
              <w:keepNext w:val="0"/>
              <w:keepLines w:val="0"/>
              <w:pageBreakBefore w:val="0"/>
              <w:widowControl w:val="0"/>
              <w:kinsoku/>
              <w:wordWrap/>
              <w:overflowPunct/>
              <w:topLinePunct w:val="0"/>
              <w:autoSpaceDE/>
              <w:autoSpaceDN/>
              <w:bidi w:val="0"/>
              <w:spacing w:line="360" w:lineRule="auto"/>
              <w:ind w:firstLine="560"/>
              <w:textAlignment w:val="auto"/>
              <w:rPr>
                <w:rFonts w:hint="default" w:eastAsia="宋体"/>
                <w:color w:val="auto"/>
                <w:spacing w:val="0"/>
                <w:position w:val="0"/>
                <w:sz w:val="21"/>
                <w:szCs w:val="21"/>
                <w:lang w:val="en-US" w:eastAsia="zh-CN"/>
              </w:rPr>
            </w:pPr>
            <w:r>
              <w:rPr>
                <w:rFonts w:hint="eastAsia"/>
                <w:color w:val="auto"/>
                <w:spacing w:val="0"/>
                <w:position w:val="0"/>
                <w:sz w:val="21"/>
                <w:szCs w:val="21"/>
                <w:lang w:val="en-US" w:eastAsia="zh-CN"/>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eastAsia"/>
                <w:color w:val="auto"/>
                <w:spacing w:val="0"/>
                <w:kern w:val="0"/>
                <w:position w:val="0"/>
                <w:sz w:val="21"/>
                <w:szCs w:val="21"/>
              </w:rPr>
              <w:t>，</w:t>
            </w:r>
            <w:r>
              <w:rPr>
                <w:rFonts w:hint="eastAsia"/>
                <w:color w:val="auto"/>
                <w:spacing w:val="0"/>
                <w:kern w:val="0"/>
                <w:position w:val="0"/>
                <w:sz w:val="21"/>
                <w:szCs w:val="21"/>
                <w:lang w:eastAsia="zh-CN"/>
              </w:rPr>
              <w:t>在</w:t>
            </w:r>
            <w:r>
              <w:rPr>
                <w:rFonts w:hint="eastAsia"/>
                <w:color w:val="auto"/>
                <w:spacing w:val="0"/>
                <w:kern w:val="0"/>
                <w:position w:val="0"/>
                <w:sz w:val="21"/>
                <w:szCs w:val="21"/>
                <w:lang w:val="en-US" w:eastAsia="zh-CN"/>
              </w:rPr>
              <w:t>工业园区内，厂区主要设置生活区、生产区，生活区设置在厂区南侧，有员工宿舍；生产区设置在厂区北侧，生产区有两间生产车间，共占地2800</w:t>
            </w:r>
            <w:r>
              <w:rPr>
                <w:rFonts w:hint="default" w:ascii="Times New Roman" w:hAnsi="Times New Roman" w:cs="Times New Roman"/>
                <w:color w:val="auto"/>
                <w:spacing w:val="0"/>
                <w:position w:val="0"/>
                <w:sz w:val="21"/>
                <w:szCs w:val="21"/>
              </w:rPr>
              <w:t>m</w:t>
            </w:r>
            <w:r>
              <w:rPr>
                <w:rFonts w:hint="eastAsia" w:ascii="Times New Roman" w:hAnsi="Times New Roman" w:cs="Times New Roman"/>
                <w:color w:val="auto"/>
                <w:spacing w:val="0"/>
                <w:position w:val="0"/>
                <w:sz w:val="21"/>
                <w:szCs w:val="21"/>
                <w:vertAlign w:val="superscript"/>
                <w:lang w:val="en-US" w:eastAsia="zh-CN"/>
              </w:rPr>
              <w:t>2</w:t>
            </w:r>
            <w:r>
              <w:rPr>
                <w:rFonts w:hint="eastAsia"/>
                <w:color w:val="auto"/>
                <w:spacing w:val="0"/>
                <w:kern w:val="0"/>
                <w:position w:val="0"/>
                <w:sz w:val="21"/>
                <w:szCs w:val="21"/>
                <w:lang w:val="en-US" w:eastAsia="zh-CN"/>
              </w:rPr>
              <w:t>，本项目在西侧空车间内拟建塑料产品生产线14条，其中管件10条，在车间内南北侧依次排列，打包带4条，位于车间内东北侧，破碎、混料设备位于车间西侧，冷却水罐及催化燃烧器位于车间中部，车间平面布置图详见附图6；本项目危废间拟建于生产车间西侧，占地5</w:t>
            </w:r>
            <w:r>
              <w:rPr>
                <w:rFonts w:hint="default" w:ascii="Times New Roman" w:hAnsi="Times New Roman" w:cs="Times New Roman"/>
                <w:color w:val="auto"/>
                <w:spacing w:val="0"/>
                <w:position w:val="0"/>
                <w:sz w:val="21"/>
                <w:szCs w:val="21"/>
              </w:rPr>
              <w:t>m</w:t>
            </w:r>
            <w:r>
              <w:rPr>
                <w:rFonts w:hint="eastAsia" w:ascii="Times New Roman" w:hAnsi="Times New Roman" w:cs="Times New Roman"/>
                <w:color w:val="auto"/>
                <w:spacing w:val="0"/>
                <w:position w:val="0"/>
                <w:sz w:val="21"/>
                <w:szCs w:val="21"/>
                <w:vertAlign w:val="superscript"/>
                <w:lang w:val="en-US" w:eastAsia="zh-CN"/>
              </w:rPr>
              <w:t>2</w:t>
            </w:r>
            <w:r>
              <w:rPr>
                <w:rFonts w:hint="eastAsia"/>
                <w:color w:val="auto"/>
                <w:spacing w:val="0"/>
                <w:kern w:val="0"/>
                <w:position w:val="0"/>
                <w:sz w:val="21"/>
                <w:szCs w:val="21"/>
                <w:lang w:val="en-US" w:eastAsia="zh-CN"/>
              </w:rPr>
              <w:t>；厂区出入口设置一处，位于厂区南侧</w:t>
            </w:r>
            <w:r>
              <w:rPr>
                <w:rFonts w:hint="eastAsia"/>
                <w:color w:val="auto"/>
                <w:spacing w:val="0"/>
                <w:position w:val="0"/>
                <w:sz w:val="21"/>
                <w:szCs w:val="21"/>
                <w:lang w:val="en-US" w:eastAsia="zh-CN"/>
              </w:rPr>
              <w:t>。</w:t>
            </w:r>
          </w:p>
          <w:p w14:paraId="60D8096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olor w:val="auto"/>
                <w:spacing w:val="0"/>
                <w:position w:val="0"/>
                <w:sz w:val="21"/>
                <w:szCs w:val="21"/>
                <w:lang w:val="en-US" w:eastAsia="zh-CN"/>
              </w:rPr>
            </w:pPr>
            <w:r>
              <w:rPr>
                <w:rFonts w:hint="eastAsia"/>
                <w:color w:val="auto"/>
                <w:spacing w:val="0"/>
                <w:position w:val="0"/>
                <w:sz w:val="21"/>
                <w:szCs w:val="21"/>
              </w:rPr>
              <w:t>（2）</w:t>
            </w:r>
            <w:r>
              <w:rPr>
                <w:rFonts w:hint="eastAsia"/>
                <w:color w:val="auto"/>
                <w:spacing w:val="0"/>
                <w:position w:val="0"/>
                <w:sz w:val="21"/>
                <w:szCs w:val="21"/>
                <w:lang w:val="en-US" w:eastAsia="zh-CN"/>
              </w:rPr>
              <w:t>总平面布置合理性分析</w:t>
            </w:r>
          </w:p>
          <w:p w14:paraId="32EAA863">
            <w:pPr>
              <w:shd w:val="clear" w:color="auto" w:fill="auto"/>
              <w:spacing w:line="360" w:lineRule="auto"/>
              <w:ind w:firstLine="420" w:firstLineChars="200"/>
              <w:rPr>
                <w:rFonts w:hint="default" w:ascii="Times New Roman" w:hAnsi="Times New Roman" w:cs="Times New Roman"/>
                <w:color w:val="auto"/>
                <w:spacing w:val="0"/>
                <w:position w:val="0"/>
                <w:sz w:val="21"/>
                <w:szCs w:val="21"/>
                <w:lang w:eastAsia="zh-CN"/>
              </w:rPr>
            </w:pPr>
            <w:r>
              <w:rPr>
                <w:rFonts w:hint="default" w:ascii="Times New Roman" w:hAnsi="Times New Roman" w:cs="Times New Roman"/>
                <w:color w:val="auto"/>
                <w:spacing w:val="0"/>
                <w:position w:val="0"/>
                <w:sz w:val="21"/>
                <w:szCs w:val="21"/>
                <w:lang w:val="en-US" w:eastAsia="zh-CN"/>
              </w:rPr>
              <w:t>本项目厂区内部各区域由</w:t>
            </w:r>
            <w:r>
              <w:rPr>
                <w:rFonts w:hint="eastAsia" w:ascii="Times New Roman" w:hAnsi="Times New Roman" w:cs="Times New Roman"/>
                <w:color w:val="auto"/>
                <w:spacing w:val="0"/>
                <w:position w:val="0"/>
                <w:sz w:val="21"/>
                <w:szCs w:val="21"/>
                <w:lang w:val="en-US" w:eastAsia="zh-CN"/>
              </w:rPr>
              <w:t>厂区</w:t>
            </w:r>
            <w:r>
              <w:rPr>
                <w:rFonts w:hint="default" w:ascii="Times New Roman" w:hAnsi="Times New Roman" w:cs="Times New Roman"/>
                <w:color w:val="auto"/>
                <w:spacing w:val="0"/>
                <w:position w:val="0"/>
                <w:sz w:val="21"/>
                <w:szCs w:val="21"/>
                <w:lang w:val="en-US" w:eastAsia="zh-CN"/>
              </w:rPr>
              <w:t>道路连接，项目区内</w:t>
            </w:r>
            <w:r>
              <w:rPr>
                <w:rFonts w:hint="default" w:ascii="Times New Roman" w:hAnsi="Times New Roman" w:cs="Times New Roman"/>
                <w:color w:val="auto"/>
                <w:spacing w:val="0"/>
                <w:position w:val="0"/>
                <w:sz w:val="21"/>
                <w:szCs w:val="21"/>
              </w:rPr>
              <w:t>布置与现有地形相结合，节省用地，物流顺畅。</w:t>
            </w:r>
            <w:r>
              <w:rPr>
                <w:rFonts w:hint="default" w:ascii="Times New Roman" w:hAnsi="Times New Roman" w:cs="Times New Roman"/>
                <w:color w:val="auto"/>
                <w:spacing w:val="0"/>
                <w:position w:val="0"/>
                <w:sz w:val="21"/>
                <w:szCs w:val="21"/>
                <w:lang w:val="en-US" w:eastAsia="zh-CN"/>
              </w:rPr>
              <w:t>本项目所在区域常年主导风向为西</w:t>
            </w:r>
            <w:r>
              <w:rPr>
                <w:rFonts w:hint="eastAsia" w:ascii="Times New Roman" w:hAnsi="Times New Roman" w:cs="Times New Roman"/>
                <w:color w:val="auto"/>
                <w:spacing w:val="0"/>
                <w:position w:val="0"/>
                <w:sz w:val="21"/>
                <w:szCs w:val="21"/>
                <w:lang w:val="en-US" w:eastAsia="zh-CN"/>
              </w:rPr>
              <w:t>南</w:t>
            </w:r>
            <w:r>
              <w:rPr>
                <w:rFonts w:hint="default" w:ascii="Times New Roman" w:hAnsi="Times New Roman" w:cs="Times New Roman"/>
                <w:color w:val="auto"/>
                <w:spacing w:val="0"/>
                <w:position w:val="0"/>
                <w:sz w:val="21"/>
                <w:szCs w:val="21"/>
                <w:lang w:val="en-US" w:eastAsia="zh-CN"/>
              </w:rPr>
              <w:t>风，由</w:t>
            </w:r>
            <w:r>
              <w:rPr>
                <w:rFonts w:hint="default" w:ascii="Times New Roman" w:hAnsi="Times New Roman" w:cs="Times New Roman"/>
                <w:color w:val="auto"/>
                <w:spacing w:val="0"/>
                <w:position w:val="0"/>
                <w:sz w:val="21"/>
                <w:szCs w:val="21"/>
                <w:lang w:eastAsia="zh-CN"/>
              </w:rPr>
              <w:t>总平面布置示意图</w:t>
            </w:r>
            <w:r>
              <w:rPr>
                <w:rFonts w:hint="default" w:ascii="Times New Roman" w:hAnsi="Times New Roman" w:cs="Times New Roman"/>
                <w:color w:val="auto"/>
                <w:spacing w:val="0"/>
                <w:position w:val="0"/>
                <w:sz w:val="21"/>
                <w:szCs w:val="21"/>
                <w:lang w:val="en-US" w:eastAsia="zh-CN"/>
              </w:rPr>
              <w:t>可知</w:t>
            </w:r>
            <w:r>
              <w:rPr>
                <w:rFonts w:hint="eastAsia" w:cs="Times New Roman"/>
                <w:color w:val="auto"/>
                <w:spacing w:val="0"/>
                <w:position w:val="0"/>
                <w:sz w:val="21"/>
                <w:szCs w:val="21"/>
                <w:lang w:val="en-US" w:eastAsia="zh-CN"/>
              </w:rPr>
              <w:t>员工宿舍</w:t>
            </w:r>
            <w:r>
              <w:rPr>
                <w:rFonts w:hint="default" w:ascii="Times New Roman" w:hAnsi="Times New Roman" w:cs="Times New Roman"/>
                <w:color w:val="auto"/>
                <w:spacing w:val="0"/>
                <w:position w:val="0"/>
                <w:sz w:val="21"/>
                <w:szCs w:val="21"/>
                <w:lang w:val="en-US" w:eastAsia="zh-CN"/>
              </w:rPr>
              <w:t>位于</w:t>
            </w:r>
            <w:r>
              <w:rPr>
                <w:rFonts w:hint="eastAsia" w:cs="Times New Roman"/>
                <w:color w:val="auto"/>
                <w:spacing w:val="0"/>
                <w:position w:val="0"/>
                <w:sz w:val="21"/>
                <w:szCs w:val="21"/>
                <w:lang w:val="en-US" w:eastAsia="zh-CN"/>
              </w:rPr>
              <w:t>上</w:t>
            </w:r>
            <w:r>
              <w:rPr>
                <w:rFonts w:hint="default" w:ascii="Times New Roman" w:hAnsi="Times New Roman" w:cs="Times New Roman"/>
                <w:color w:val="auto"/>
                <w:spacing w:val="0"/>
                <w:position w:val="0"/>
                <w:sz w:val="21"/>
                <w:szCs w:val="21"/>
                <w:lang w:val="en-US" w:eastAsia="zh-CN"/>
              </w:rPr>
              <w:t>风向，运营过程对生活区影响较小</w:t>
            </w:r>
            <w:r>
              <w:rPr>
                <w:rFonts w:hint="eastAsia" w:cs="Times New Roman"/>
                <w:color w:val="auto"/>
                <w:spacing w:val="0"/>
                <w:position w:val="0"/>
                <w:sz w:val="21"/>
                <w:szCs w:val="21"/>
                <w:lang w:val="en-US" w:eastAsia="zh-CN"/>
              </w:rPr>
              <w:t>，因此本项目厂区布置是合理的</w:t>
            </w:r>
            <w:r>
              <w:rPr>
                <w:rFonts w:hint="default" w:ascii="Times New Roman" w:hAnsi="Times New Roman" w:cs="Times New Roman"/>
                <w:color w:val="auto"/>
                <w:spacing w:val="0"/>
                <w:position w:val="0"/>
                <w:sz w:val="21"/>
                <w:szCs w:val="21"/>
                <w:lang w:val="en-US" w:eastAsia="zh-CN"/>
              </w:rPr>
              <w:t>。</w:t>
            </w:r>
          </w:p>
          <w:p w14:paraId="60E8419E">
            <w:pPr>
              <w:shd w:val="clear" w:color="auto" w:fill="auto"/>
              <w:spacing w:line="360" w:lineRule="auto"/>
              <w:ind w:firstLine="420" w:firstLineChars="200"/>
              <w:rPr>
                <w:color w:val="auto"/>
                <w:spacing w:val="0"/>
                <w:position w:val="0"/>
                <w:szCs w:val="21"/>
                <w:highlight w:val="none"/>
              </w:rPr>
            </w:pPr>
            <w:r>
              <w:rPr>
                <w:rFonts w:hint="default" w:ascii="Times New Roman" w:hAnsi="Times New Roman" w:cs="Times New Roman"/>
                <w:color w:val="auto"/>
                <w:spacing w:val="0"/>
                <w:position w:val="0"/>
                <w:sz w:val="21"/>
                <w:szCs w:val="21"/>
                <w:lang w:eastAsia="zh-CN"/>
              </w:rPr>
              <w:t>综上，项目区整体布局是较为合理的</w:t>
            </w:r>
            <w:r>
              <w:rPr>
                <w:rFonts w:hint="eastAsia" w:ascii="Times New Roman" w:hAnsi="Times New Roman" w:cs="Times New Roman"/>
                <w:color w:val="auto"/>
                <w:spacing w:val="0"/>
                <w:position w:val="0"/>
                <w:sz w:val="21"/>
                <w:szCs w:val="21"/>
                <w:lang w:eastAsia="zh-CN"/>
              </w:rPr>
              <w:t>，</w:t>
            </w:r>
            <w:r>
              <w:rPr>
                <w:rFonts w:hint="default" w:ascii="Times New Roman" w:hAnsi="Times New Roman" w:cs="Times New Roman"/>
                <w:color w:val="auto"/>
                <w:spacing w:val="0"/>
                <w:position w:val="0"/>
                <w:sz w:val="21"/>
                <w:szCs w:val="21"/>
                <w:lang w:eastAsia="zh-CN"/>
              </w:rPr>
              <w:t>项目区平面布置示意图详见附图</w:t>
            </w:r>
            <w:r>
              <w:rPr>
                <w:rFonts w:hint="eastAsia" w:cs="Times New Roman"/>
                <w:color w:val="auto"/>
                <w:spacing w:val="0"/>
                <w:position w:val="0"/>
                <w:sz w:val="21"/>
                <w:szCs w:val="21"/>
                <w:lang w:val="en-US" w:eastAsia="zh-CN"/>
              </w:rPr>
              <w:t>5</w:t>
            </w:r>
            <w:r>
              <w:rPr>
                <w:rFonts w:hint="default" w:ascii="Times New Roman" w:hAnsi="Times New Roman" w:cs="Times New Roman"/>
                <w:color w:val="auto"/>
                <w:spacing w:val="0"/>
                <w:position w:val="0"/>
                <w:sz w:val="21"/>
                <w:szCs w:val="21"/>
                <w:highlight w:val="none"/>
                <w:lang w:eastAsia="zh-CN"/>
              </w:rPr>
              <w:t>。</w:t>
            </w:r>
          </w:p>
          <w:p w14:paraId="22491563">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color w:val="auto"/>
                <w:spacing w:val="0"/>
                <w:position w:val="0"/>
                <w:sz w:val="21"/>
                <w:szCs w:val="21"/>
              </w:rPr>
            </w:pPr>
            <w:r>
              <w:rPr>
                <w:rFonts w:hint="eastAsia"/>
                <w:b/>
                <w:color w:val="auto"/>
                <w:spacing w:val="0"/>
                <w:position w:val="0"/>
                <w:sz w:val="21"/>
                <w:szCs w:val="21"/>
                <w:lang w:val="en-US" w:eastAsia="zh-CN"/>
              </w:rPr>
              <w:t>6</w:t>
            </w:r>
            <w:r>
              <w:rPr>
                <w:b/>
                <w:color w:val="auto"/>
                <w:spacing w:val="0"/>
                <w:position w:val="0"/>
                <w:sz w:val="21"/>
                <w:szCs w:val="21"/>
              </w:rPr>
              <w:t>劳动定员及工作制度</w:t>
            </w:r>
          </w:p>
          <w:p w14:paraId="43428F0D">
            <w:pPr>
              <w:keepNext w:val="0"/>
              <w:keepLines w:val="0"/>
              <w:pageBreakBefore w:val="0"/>
              <w:widowControl/>
              <w:kinsoku/>
              <w:wordWrap/>
              <w:overflowPunct/>
              <w:topLinePunct w:val="0"/>
              <w:autoSpaceDE/>
              <w:autoSpaceDN/>
              <w:bidi w:val="0"/>
              <w:spacing w:line="360" w:lineRule="auto"/>
              <w:ind w:firstLine="560"/>
              <w:jc w:val="left"/>
              <w:textAlignment w:val="auto"/>
              <w:rPr>
                <w:rFonts w:hint="eastAsia"/>
                <w:bCs/>
                <w:color w:val="auto"/>
                <w:spacing w:val="0"/>
                <w:position w:val="0"/>
                <w:sz w:val="21"/>
                <w:szCs w:val="21"/>
                <w:lang w:eastAsia="zh-CN"/>
              </w:rPr>
            </w:pPr>
            <w:r>
              <w:rPr>
                <w:rFonts w:hint="eastAsia"/>
                <w:bCs/>
                <w:color w:val="auto"/>
                <w:spacing w:val="0"/>
                <w:position w:val="0"/>
                <w:sz w:val="21"/>
                <w:szCs w:val="21"/>
                <w:lang w:val="en-US" w:eastAsia="zh-CN"/>
              </w:rPr>
              <w:t>劳动定员：</w:t>
            </w:r>
            <w:r>
              <w:rPr>
                <w:rFonts w:hint="eastAsia"/>
                <w:bCs/>
                <w:color w:val="auto"/>
                <w:spacing w:val="0"/>
                <w:position w:val="0"/>
                <w:sz w:val="21"/>
                <w:szCs w:val="21"/>
              </w:rPr>
              <w:t>本项目员工</w:t>
            </w:r>
            <w:r>
              <w:rPr>
                <w:rFonts w:hint="eastAsia"/>
                <w:bCs/>
                <w:color w:val="auto"/>
                <w:spacing w:val="0"/>
                <w:position w:val="0"/>
                <w:sz w:val="21"/>
                <w:szCs w:val="21"/>
                <w:lang w:val="en-US" w:eastAsia="zh-CN"/>
              </w:rPr>
              <w:t>总</w:t>
            </w:r>
            <w:r>
              <w:rPr>
                <w:rFonts w:hint="eastAsia"/>
                <w:bCs/>
                <w:color w:val="auto"/>
                <w:spacing w:val="0"/>
                <w:position w:val="0"/>
                <w:sz w:val="21"/>
                <w:szCs w:val="21"/>
              </w:rPr>
              <w:t>人数</w:t>
            </w:r>
            <w:r>
              <w:rPr>
                <w:rFonts w:hint="eastAsia"/>
                <w:bCs/>
                <w:color w:val="auto"/>
                <w:spacing w:val="0"/>
                <w:position w:val="0"/>
                <w:sz w:val="21"/>
                <w:szCs w:val="21"/>
                <w:lang w:val="en-US" w:eastAsia="zh-CN"/>
              </w:rPr>
              <w:t>10</w:t>
            </w:r>
            <w:r>
              <w:rPr>
                <w:rFonts w:hint="eastAsia"/>
                <w:bCs/>
                <w:color w:val="auto"/>
                <w:spacing w:val="0"/>
                <w:position w:val="0"/>
                <w:sz w:val="21"/>
                <w:szCs w:val="21"/>
              </w:rPr>
              <w:t>人</w:t>
            </w:r>
            <w:r>
              <w:rPr>
                <w:rFonts w:hint="eastAsia"/>
                <w:bCs/>
                <w:color w:val="auto"/>
                <w:spacing w:val="0"/>
                <w:position w:val="0"/>
                <w:sz w:val="21"/>
                <w:szCs w:val="21"/>
                <w:lang w:val="en-US" w:eastAsia="zh-CN"/>
              </w:rPr>
              <w:t>为原有员工，不再招聘</w:t>
            </w:r>
            <w:r>
              <w:rPr>
                <w:rFonts w:hint="eastAsia"/>
                <w:bCs/>
                <w:color w:val="auto"/>
                <w:spacing w:val="0"/>
                <w:position w:val="0"/>
                <w:sz w:val="21"/>
                <w:szCs w:val="21"/>
                <w:lang w:eastAsia="zh-CN"/>
              </w:rPr>
              <w:t>。</w:t>
            </w:r>
          </w:p>
          <w:p w14:paraId="7DA02807">
            <w:pPr>
              <w:keepNext w:val="0"/>
              <w:keepLines w:val="0"/>
              <w:pageBreakBefore w:val="0"/>
              <w:widowControl/>
              <w:kinsoku/>
              <w:wordWrap/>
              <w:overflowPunct/>
              <w:topLinePunct w:val="0"/>
              <w:autoSpaceDE/>
              <w:autoSpaceDN/>
              <w:bidi w:val="0"/>
              <w:spacing w:line="360" w:lineRule="auto"/>
              <w:ind w:firstLine="560"/>
              <w:jc w:val="left"/>
              <w:textAlignment w:val="auto"/>
              <w:rPr>
                <w:color w:val="auto"/>
                <w:spacing w:val="0"/>
                <w:position w:val="0"/>
                <w:sz w:val="21"/>
                <w:szCs w:val="21"/>
              </w:rPr>
            </w:pPr>
            <w:r>
              <w:rPr>
                <w:rFonts w:hint="eastAsia"/>
                <w:bCs/>
                <w:color w:val="auto"/>
                <w:spacing w:val="0"/>
                <w:position w:val="0"/>
                <w:sz w:val="21"/>
                <w:szCs w:val="21"/>
                <w:lang w:val="en-US" w:eastAsia="zh-CN"/>
              </w:rPr>
              <w:t>工作制度：</w:t>
            </w:r>
            <w:r>
              <w:rPr>
                <w:rFonts w:hint="eastAsia"/>
                <w:bCs/>
                <w:color w:val="auto"/>
                <w:spacing w:val="0"/>
                <w:position w:val="0"/>
                <w:sz w:val="21"/>
                <w:szCs w:val="21"/>
              </w:rPr>
              <w:t>年工作日为</w:t>
            </w:r>
            <w:r>
              <w:rPr>
                <w:rFonts w:hint="eastAsia"/>
                <w:bCs/>
                <w:color w:val="auto"/>
                <w:spacing w:val="0"/>
                <w:position w:val="0"/>
                <w:sz w:val="21"/>
                <w:szCs w:val="21"/>
                <w:lang w:val="en-US" w:eastAsia="zh-CN"/>
              </w:rPr>
              <w:t>300</w:t>
            </w:r>
            <w:r>
              <w:rPr>
                <w:rFonts w:hint="eastAsia"/>
                <w:bCs/>
                <w:color w:val="auto"/>
                <w:spacing w:val="0"/>
                <w:position w:val="0"/>
                <w:sz w:val="21"/>
                <w:szCs w:val="21"/>
              </w:rPr>
              <w:t>天，</w:t>
            </w:r>
            <w:r>
              <w:rPr>
                <w:rFonts w:hint="eastAsia"/>
                <w:bCs/>
                <w:color w:val="auto"/>
                <w:spacing w:val="0"/>
                <w:position w:val="0"/>
                <w:sz w:val="21"/>
                <w:szCs w:val="21"/>
                <w:lang w:val="en-US" w:eastAsia="zh-CN"/>
              </w:rPr>
              <w:t>采用1班制，</w:t>
            </w:r>
            <w:r>
              <w:rPr>
                <w:rFonts w:hint="eastAsia"/>
                <w:bCs/>
                <w:color w:val="auto"/>
                <w:spacing w:val="0"/>
                <w:position w:val="0"/>
                <w:sz w:val="21"/>
                <w:szCs w:val="21"/>
              </w:rPr>
              <w:t>每</w:t>
            </w:r>
            <w:r>
              <w:rPr>
                <w:rFonts w:hint="eastAsia"/>
                <w:bCs/>
                <w:color w:val="auto"/>
                <w:spacing w:val="0"/>
                <w:position w:val="0"/>
                <w:sz w:val="21"/>
                <w:szCs w:val="21"/>
                <w:lang w:val="en-US" w:eastAsia="zh-CN"/>
              </w:rPr>
              <w:t>日平均</w:t>
            </w:r>
            <w:r>
              <w:rPr>
                <w:rFonts w:hint="eastAsia"/>
                <w:bCs/>
                <w:color w:val="auto"/>
                <w:spacing w:val="0"/>
                <w:position w:val="0"/>
                <w:sz w:val="21"/>
                <w:szCs w:val="21"/>
              </w:rPr>
              <w:t>工作10h。</w:t>
            </w:r>
          </w:p>
          <w:p w14:paraId="7752855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b/>
                <w:color w:val="auto"/>
                <w:spacing w:val="0"/>
                <w:position w:val="0"/>
                <w:sz w:val="21"/>
                <w:szCs w:val="21"/>
                <w:lang w:val="en-US" w:eastAsia="zh-CN"/>
              </w:rPr>
            </w:pPr>
            <w:r>
              <w:rPr>
                <w:rFonts w:hint="eastAsia" w:cs="Times New Roman"/>
                <w:b/>
                <w:color w:val="auto"/>
                <w:spacing w:val="0"/>
                <w:position w:val="0"/>
                <w:sz w:val="21"/>
                <w:szCs w:val="21"/>
                <w:lang w:val="en-US" w:eastAsia="zh-CN"/>
              </w:rPr>
              <w:t>7</w:t>
            </w:r>
            <w:r>
              <w:rPr>
                <w:rFonts w:hint="eastAsia" w:ascii="Times New Roman" w:hAnsi="Times New Roman" w:eastAsia="宋体" w:cs="Times New Roman"/>
                <w:b/>
                <w:color w:val="auto"/>
                <w:spacing w:val="0"/>
                <w:position w:val="0"/>
                <w:sz w:val="21"/>
                <w:szCs w:val="21"/>
                <w:lang w:val="en-US" w:eastAsia="zh-CN"/>
              </w:rPr>
              <w:t>公用工程及辅助设施</w:t>
            </w:r>
          </w:p>
          <w:p w14:paraId="317E6C5B">
            <w:pPr>
              <w:pStyle w:val="21"/>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textAlignment w:val="auto"/>
              <w:outlineLvl w:val="9"/>
              <w:rPr>
                <w:rFonts w:ascii="Times New Roman" w:hAnsi="Times New Roman"/>
                <w:b/>
                <w:color w:val="auto"/>
                <w:spacing w:val="0"/>
                <w:position w:val="0"/>
                <w:sz w:val="21"/>
                <w:szCs w:val="21"/>
                <w:highlight w:val="none"/>
              </w:rPr>
            </w:pPr>
            <w:r>
              <w:rPr>
                <w:rFonts w:hint="eastAsia"/>
                <w:color w:val="auto"/>
                <w:spacing w:val="0"/>
                <w:kern w:val="0"/>
                <w:position w:val="0"/>
                <w:sz w:val="21"/>
                <w:szCs w:val="21"/>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eastAsia"/>
                <w:color w:val="auto"/>
                <w:spacing w:val="0"/>
                <w:kern w:val="0"/>
                <w:position w:val="0"/>
                <w:sz w:val="21"/>
                <w:szCs w:val="21"/>
              </w:rPr>
              <w:t>，</w:t>
            </w:r>
            <w:r>
              <w:rPr>
                <w:rFonts w:hint="eastAsia"/>
                <w:color w:val="auto"/>
                <w:spacing w:val="0"/>
                <w:kern w:val="0"/>
                <w:position w:val="0"/>
                <w:sz w:val="21"/>
                <w:szCs w:val="21"/>
                <w:lang w:eastAsia="zh-CN"/>
              </w:rPr>
              <w:t>在</w:t>
            </w:r>
            <w:r>
              <w:rPr>
                <w:rFonts w:hint="eastAsia"/>
                <w:color w:val="auto"/>
                <w:spacing w:val="0"/>
                <w:kern w:val="0"/>
                <w:position w:val="0"/>
                <w:sz w:val="21"/>
                <w:szCs w:val="21"/>
                <w:lang w:val="en-US" w:eastAsia="zh-CN"/>
              </w:rPr>
              <w:t>工业园区内，</w:t>
            </w:r>
            <w:r>
              <w:rPr>
                <w:rFonts w:hint="eastAsia" w:ascii="Times New Roman" w:hAnsi="Times New Roman"/>
                <w:color w:val="auto"/>
                <w:spacing w:val="0"/>
                <w:kern w:val="0"/>
                <w:position w:val="0"/>
                <w:sz w:val="21"/>
                <w:szCs w:val="21"/>
                <w:highlight w:val="none"/>
              </w:rPr>
              <w:t>园区</w:t>
            </w:r>
            <w:r>
              <w:rPr>
                <w:rFonts w:ascii="Times New Roman" w:hAnsi="Times New Roman"/>
                <w:bCs w:val="0"/>
                <w:color w:val="auto"/>
                <w:spacing w:val="0"/>
                <w:kern w:val="2"/>
                <w:position w:val="0"/>
                <w:sz w:val="21"/>
                <w:szCs w:val="21"/>
                <w:highlight w:val="none"/>
              </w:rPr>
              <w:t>基础设施完善，项目用水、用电、</w:t>
            </w:r>
            <w:r>
              <w:rPr>
                <w:rFonts w:hint="eastAsia" w:ascii="Times New Roman" w:hAnsi="Times New Roman"/>
                <w:bCs w:val="0"/>
                <w:color w:val="auto"/>
                <w:spacing w:val="0"/>
                <w:kern w:val="2"/>
                <w:position w:val="0"/>
                <w:sz w:val="21"/>
                <w:szCs w:val="21"/>
                <w:highlight w:val="none"/>
                <w:lang w:val="en-US" w:eastAsia="zh-CN"/>
              </w:rPr>
              <w:t>排水</w:t>
            </w:r>
            <w:r>
              <w:rPr>
                <w:rFonts w:ascii="Times New Roman" w:hAnsi="Times New Roman"/>
                <w:bCs w:val="0"/>
                <w:color w:val="auto"/>
                <w:spacing w:val="0"/>
                <w:kern w:val="2"/>
                <w:position w:val="0"/>
                <w:sz w:val="21"/>
                <w:szCs w:val="21"/>
                <w:highlight w:val="none"/>
              </w:rPr>
              <w:t>均可依托</w:t>
            </w:r>
            <w:r>
              <w:rPr>
                <w:rFonts w:hint="eastAsia" w:ascii="Times New Roman" w:hAnsi="Times New Roman"/>
                <w:bCs w:val="0"/>
                <w:color w:val="auto"/>
                <w:spacing w:val="0"/>
                <w:kern w:val="2"/>
                <w:position w:val="0"/>
                <w:sz w:val="21"/>
                <w:szCs w:val="21"/>
                <w:highlight w:val="none"/>
              </w:rPr>
              <w:t>市政</w:t>
            </w:r>
            <w:r>
              <w:rPr>
                <w:rFonts w:ascii="Times New Roman" w:hAnsi="Times New Roman"/>
                <w:bCs w:val="0"/>
                <w:color w:val="auto"/>
                <w:spacing w:val="0"/>
                <w:kern w:val="2"/>
                <w:position w:val="0"/>
                <w:sz w:val="21"/>
                <w:szCs w:val="21"/>
                <w:highlight w:val="none"/>
              </w:rPr>
              <w:t>基础设施。</w:t>
            </w:r>
          </w:p>
          <w:p w14:paraId="2A40CB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 w:val="0"/>
                <w:bCs/>
                <w:color w:val="auto"/>
                <w:spacing w:val="0"/>
                <w:position w:val="0"/>
                <w:sz w:val="21"/>
                <w:szCs w:val="21"/>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（1）</w:t>
            </w:r>
            <w:r>
              <w:rPr>
                <w:rFonts w:hint="eastAsia" w:ascii="Times New Roman" w:hAnsi="Times New Roman" w:cs="Times New Roman"/>
                <w:b w:val="0"/>
                <w:bCs/>
                <w:color w:val="auto"/>
                <w:spacing w:val="0"/>
                <w:position w:val="0"/>
                <w:sz w:val="21"/>
                <w:szCs w:val="21"/>
                <w:lang w:val="en-US" w:eastAsia="zh-CN"/>
              </w:rPr>
              <w:t>供水</w:t>
            </w:r>
          </w:p>
          <w:p w14:paraId="5D4B0C01">
            <w:pPr>
              <w:keepNext w:val="0"/>
              <w:keepLines w:val="0"/>
              <w:pageBreakBefore w:val="0"/>
              <w:kinsoku/>
              <w:wordWrap/>
              <w:overflowPunct/>
              <w:topLinePunct w:val="0"/>
              <w:autoSpaceDE/>
              <w:autoSpaceDN/>
              <w:bidi w:val="0"/>
              <w:spacing w:line="360" w:lineRule="auto"/>
              <w:ind w:firstLine="560"/>
              <w:textAlignment w:val="auto"/>
              <w:rPr>
                <w:color w:val="auto"/>
                <w:spacing w:val="0"/>
                <w:position w:val="0"/>
                <w:sz w:val="21"/>
                <w:szCs w:val="21"/>
              </w:rPr>
            </w:pPr>
            <w:r>
              <w:rPr>
                <w:rFonts w:hint="eastAsia"/>
                <w:color w:val="auto"/>
                <w:spacing w:val="0"/>
                <w:position w:val="0"/>
                <w:sz w:val="21"/>
                <w:szCs w:val="21"/>
              </w:rPr>
              <w:t>本项目用水主要包括生活用水和生产</w:t>
            </w:r>
            <w:r>
              <w:rPr>
                <w:rFonts w:hint="eastAsia"/>
                <w:color w:val="auto"/>
                <w:spacing w:val="0"/>
                <w:position w:val="0"/>
                <w:sz w:val="21"/>
                <w:szCs w:val="21"/>
                <w:lang w:val="en-US" w:eastAsia="zh-CN"/>
              </w:rPr>
              <w:t>冷却</w:t>
            </w:r>
            <w:r>
              <w:rPr>
                <w:rFonts w:hint="eastAsia"/>
                <w:color w:val="auto"/>
                <w:spacing w:val="0"/>
                <w:position w:val="0"/>
                <w:sz w:val="21"/>
                <w:szCs w:val="21"/>
              </w:rPr>
              <w:t>用水，项目用水由市政供水管网直接供给。</w:t>
            </w:r>
          </w:p>
          <w:p w14:paraId="74FA967E">
            <w:pPr>
              <w:keepNext w:val="0"/>
              <w:keepLines w:val="0"/>
              <w:pageBreakBefore w:val="0"/>
              <w:kinsoku/>
              <w:wordWrap/>
              <w:overflowPunct/>
              <w:topLinePunct w:val="0"/>
              <w:autoSpaceDE/>
              <w:autoSpaceDN/>
              <w:bidi w:val="0"/>
              <w:spacing w:line="360" w:lineRule="auto"/>
              <w:ind w:firstLine="560"/>
              <w:textAlignment w:val="auto"/>
              <w:rPr>
                <w:color w:val="auto"/>
                <w:spacing w:val="0"/>
                <w:position w:val="0"/>
                <w:sz w:val="21"/>
                <w:szCs w:val="21"/>
              </w:rPr>
            </w:pPr>
            <w:r>
              <w:rPr>
                <w:color w:val="auto"/>
                <w:spacing w:val="0"/>
                <w:position w:val="0"/>
                <w:sz w:val="21"/>
                <w:szCs w:val="21"/>
              </w:rPr>
              <w:t>1</w:t>
            </w:r>
            <w:r>
              <w:rPr>
                <w:rFonts w:hint="eastAsia"/>
                <w:color w:val="auto"/>
                <w:spacing w:val="0"/>
                <w:position w:val="0"/>
                <w:sz w:val="21"/>
                <w:szCs w:val="21"/>
              </w:rPr>
              <w:t>）生活用水</w:t>
            </w:r>
          </w:p>
          <w:p w14:paraId="686E7F3F">
            <w:pPr>
              <w:keepNext w:val="0"/>
              <w:keepLines w:val="0"/>
              <w:pageBreakBefore w:val="0"/>
              <w:kinsoku/>
              <w:wordWrap/>
              <w:overflowPunct/>
              <w:topLinePunct w:val="0"/>
              <w:autoSpaceDE/>
              <w:autoSpaceDN/>
              <w:bidi w:val="0"/>
              <w:adjustRightInd w:val="0"/>
              <w:snapToGrid w:val="0"/>
              <w:spacing w:line="360" w:lineRule="auto"/>
              <w:ind w:firstLine="560"/>
              <w:textAlignment w:val="auto"/>
              <w:rPr>
                <w:color w:val="auto"/>
                <w:spacing w:val="0"/>
                <w:position w:val="0"/>
                <w:sz w:val="21"/>
                <w:szCs w:val="21"/>
              </w:rPr>
            </w:pPr>
            <w:r>
              <w:rPr>
                <w:color w:val="auto"/>
                <w:spacing w:val="0"/>
                <w:position w:val="0"/>
                <w:sz w:val="21"/>
                <w:szCs w:val="21"/>
              </w:rPr>
              <w:t>项目生产过程中工作人员</w:t>
            </w:r>
            <w:r>
              <w:rPr>
                <w:rFonts w:hint="eastAsia"/>
                <w:color w:val="auto"/>
                <w:spacing w:val="0"/>
                <w:position w:val="0"/>
                <w:sz w:val="21"/>
                <w:szCs w:val="21"/>
                <w:lang w:val="en-US" w:eastAsia="zh-CN"/>
              </w:rPr>
              <w:t>1</w:t>
            </w:r>
            <w:r>
              <w:rPr>
                <w:rFonts w:hint="eastAsia"/>
                <w:color w:val="auto"/>
                <w:spacing w:val="0"/>
                <w:position w:val="0"/>
                <w:sz w:val="21"/>
                <w:szCs w:val="21"/>
              </w:rPr>
              <w:t>0</w:t>
            </w:r>
            <w:r>
              <w:rPr>
                <w:color w:val="auto"/>
                <w:spacing w:val="0"/>
                <w:position w:val="0"/>
                <w:sz w:val="21"/>
                <w:szCs w:val="21"/>
              </w:rPr>
              <w:t>人，工作天数</w:t>
            </w:r>
            <w:r>
              <w:rPr>
                <w:rFonts w:hint="eastAsia"/>
                <w:color w:val="auto"/>
                <w:spacing w:val="0"/>
                <w:position w:val="0"/>
                <w:sz w:val="21"/>
                <w:szCs w:val="21"/>
                <w:lang w:val="en-US" w:eastAsia="zh-CN"/>
              </w:rPr>
              <w:t>30</w:t>
            </w:r>
            <w:r>
              <w:rPr>
                <w:rFonts w:hint="eastAsia"/>
                <w:color w:val="auto"/>
                <w:spacing w:val="0"/>
                <w:position w:val="0"/>
                <w:sz w:val="21"/>
                <w:szCs w:val="21"/>
              </w:rPr>
              <w:t>0</w:t>
            </w:r>
            <w:r>
              <w:rPr>
                <w:color w:val="auto"/>
                <w:spacing w:val="0"/>
                <w:position w:val="0"/>
                <w:sz w:val="21"/>
                <w:szCs w:val="21"/>
              </w:rPr>
              <w:t>d，实行</w:t>
            </w:r>
            <w:r>
              <w:rPr>
                <w:rFonts w:hint="eastAsia"/>
                <w:color w:val="auto"/>
                <w:spacing w:val="0"/>
                <w:position w:val="0"/>
                <w:sz w:val="21"/>
                <w:szCs w:val="21"/>
              </w:rPr>
              <w:t>单班制</w:t>
            </w:r>
            <w:r>
              <w:rPr>
                <w:color w:val="auto"/>
                <w:spacing w:val="0"/>
                <w:position w:val="0"/>
                <w:sz w:val="21"/>
                <w:szCs w:val="21"/>
              </w:rPr>
              <w:t>，每班</w:t>
            </w:r>
            <w:r>
              <w:rPr>
                <w:rFonts w:hint="eastAsia"/>
                <w:color w:val="auto"/>
                <w:spacing w:val="0"/>
                <w:position w:val="0"/>
                <w:sz w:val="21"/>
                <w:szCs w:val="21"/>
              </w:rPr>
              <w:t>10</w:t>
            </w:r>
            <w:r>
              <w:rPr>
                <w:color w:val="auto"/>
                <w:spacing w:val="0"/>
                <w:position w:val="0"/>
                <w:sz w:val="21"/>
                <w:szCs w:val="21"/>
              </w:rPr>
              <w:t>h，员工在厂区住宿。根据《新疆维吾尔自治区生活用水定额》，</w:t>
            </w:r>
            <w:r>
              <w:rPr>
                <w:rFonts w:hint="eastAsia"/>
                <w:color w:val="auto"/>
                <w:spacing w:val="0"/>
                <w:position w:val="0"/>
                <w:sz w:val="21"/>
                <w:szCs w:val="21"/>
              </w:rPr>
              <w:t>9920其他行业</w:t>
            </w:r>
            <w:r>
              <w:rPr>
                <w:rFonts w:hint="eastAsia"/>
                <w:color w:val="auto"/>
                <w:spacing w:val="0"/>
                <w:position w:val="0"/>
                <w:sz w:val="21"/>
                <w:szCs w:val="21"/>
                <w:lang w:eastAsia="zh-CN"/>
              </w:rPr>
              <w:t>－</w:t>
            </w:r>
            <w:r>
              <w:rPr>
                <w:rFonts w:hint="eastAsia"/>
                <w:color w:val="auto"/>
                <w:spacing w:val="0"/>
                <w:position w:val="0"/>
                <w:sz w:val="21"/>
                <w:szCs w:val="21"/>
              </w:rPr>
              <w:t>集体宿舍用水定额为80</w:t>
            </w:r>
            <w:r>
              <w:rPr>
                <w:rFonts w:hint="eastAsia"/>
                <w:color w:val="auto"/>
                <w:spacing w:val="0"/>
                <w:position w:val="0"/>
                <w:sz w:val="21"/>
                <w:szCs w:val="21"/>
                <w:lang w:eastAsia="zh-CN"/>
              </w:rPr>
              <w:t>～</w:t>
            </w:r>
            <w:r>
              <w:rPr>
                <w:rFonts w:hint="eastAsia"/>
                <w:color w:val="auto"/>
                <w:spacing w:val="0"/>
                <w:position w:val="0"/>
                <w:sz w:val="21"/>
                <w:szCs w:val="21"/>
              </w:rPr>
              <w:t>100L/人·日，</w:t>
            </w:r>
            <w:r>
              <w:rPr>
                <w:color w:val="auto"/>
                <w:spacing w:val="0"/>
                <w:position w:val="0"/>
                <w:sz w:val="21"/>
                <w:szCs w:val="21"/>
              </w:rPr>
              <w:t>此处取</w:t>
            </w:r>
            <w:r>
              <w:rPr>
                <w:rFonts w:hint="eastAsia"/>
                <w:color w:val="auto"/>
                <w:spacing w:val="0"/>
                <w:position w:val="0"/>
                <w:sz w:val="21"/>
                <w:szCs w:val="21"/>
              </w:rPr>
              <w:t>100</w:t>
            </w:r>
            <w:r>
              <w:rPr>
                <w:color w:val="auto"/>
                <w:spacing w:val="0"/>
                <w:position w:val="0"/>
                <w:sz w:val="21"/>
                <w:szCs w:val="21"/>
              </w:rPr>
              <w:t>L/人</w:t>
            </w:r>
            <w:r>
              <w:rPr>
                <w:rFonts w:hint="eastAsia"/>
                <w:color w:val="auto"/>
                <w:spacing w:val="0"/>
                <w:position w:val="0"/>
                <w:sz w:val="21"/>
                <w:szCs w:val="21"/>
              </w:rPr>
              <w:t>·</w:t>
            </w:r>
            <w:r>
              <w:rPr>
                <w:color w:val="auto"/>
                <w:spacing w:val="0"/>
                <w:position w:val="0"/>
                <w:sz w:val="21"/>
                <w:szCs w:val="21"/>
              </w:rPr>
              <w:t>d，则平均每天用水量约为</w:t>
            </w:r>
            <w:r>
              <w:rPr>
                <w:rFonts w:hint="eastAsia"/>
                <w:color w:val="auto"/>
                <w:spacing w:val="0"/>
                <w:position w:val="0"/>
                <w:sz w:val="21"/>
                <w:szCs w:val="21"/>
                <w:lang w:val="en-US" w:eastAsia="zh-CN"/>
              </w:rPr>
              <w:t>1</w:t>
            </w:r>
            <w:r>
              <w:rPr>
                <w:color w:val="auto"/>
                <w:spacing w:val="0"/>
                <w:position w:val="0"/>
                <w:sz w:val="21"/>
                <w:szCs w:val="21"/>
              </w:rPr>
              <w:t>t/d，生活用水量共计</w:t>
            </w:r>
            <w:r>
              <w:rPr>
                <w:rFonts w:hint="eastAsia"/>
                <w:color w:val="auto"/>
                <w:spacing w:val="0"/>
                <w:position w:val="0"/>
                <w:sz w:val="21"/>
                <w:szCs w:val="21"/>
                <w:lang w:val="en-US" w:eastAsia="zh-CN"/>
              </w:rPr>
              <w:t>300</w:t>
            </w:r>
            <w:r>
              <w:rPr>
                <w:color w:val="auto"/>
                <w:spacing w:val="0"/>
                <w:position w:val="0"/>
                <w:sz w:val="21"/>
                <w:szCs w:val="21"/>
              </w:rPr>
              <w:t>t/a，排放率以0.8</w:t>
            </w:r>
            <w:r>
              <w:rPr>
                <w:rFonts w:hint="eastAsia"/>
                <w:color w:val="auto"/>
                <w:spacing w:val="0"/>
                <w:position w:val="0"/>
                <w:sz w:val="21"/>
                <w:szCs w:val="21"/>
                <w:lang w:eastAsia="zh-CN"/>
              </w:rPr>
              <w:t>计</w:t>
            </w:r>
            <w:r>
              <w:rPr>
                <w:rFonts w:hint="eastAsia"/>
                <w:color w:val="auto"/>
                <w:spacing w:val="0"/>
                <w:position w:val="0"/>
                <w:sz w:val="21"/>
                <w:szCs w:val="21"/>
              </w:rPr>
              <w:t>，排水量为</w:t>
            </w:r>
            <w:r>
              <w:rPr>
                <w:rFonts w:hint="eastAsia"/>
                <w:color w:val="auto"/>
                <w:spacing w:val="0"/>
                <w:position w:val="0"/>
                <w:sz w:val="21"/>
                <w:szCs w:val="21"/>
                <w:lang w:val="en-US" w:eastAsia="zh-CN"/>
              </w:rPr>
              <w:t>0.8</w:t>
            </w:r>
            <w:r>
              <w:rPr>
                <w:rFonts w:hint="eastAsia"/>
                <w:color w:val="auto"/>
                <w:spacing w:val="0"/>
                <w:kern w:val="0"/>
                <w:position w:val="0"/>
                <w:sz w:val="21"/>
                <w:szCs w:val="21"/>
                <w:lang w:val="en-US" w:eastAsia="zh-CN"/>
              </w:rPr>
              <w:t>t</w:t>
            </w:r>
            <w:r>
              <w:rPr>
                <w:rFonts w:hint="eastAsia"/>
                <w:color w:val="auto"/>
                <w:spacing w:val="0"/>
                <w:position w:val="0"/>
                <w:sz w:val="21"/>
                <w:szCs w:val="21"/>
              </w:rPr>
              <w:t>/d（</w:t>
            </w:r>
            <w:r>
              <w:rPr>
                <w:rFonts w:hint="eastAsia"/>
                <w:color w:val="auto"/>
                <w:spacing w:val="0"/>
                <w:position w:val="0"/>
                <w:sz w:val="21"/>
                <w:szCs w:val="21"/>
                <w:lang w:val="en-US" w:eastAsia="zh-CN"/>
              </w:rPr>
              <w:t>240</w:t>
            </w:r>
            <w:r>
              <w:rPr>
                <w:rFonts w:hint="eastAsia"/>
                <w:color w:val="auto"/>
                <w:spacing w:val="0"/>
                <w:kern w:val="0"/>
                <w:position w:val="0"/>
                <w:sz w:val="21"/>
                <w:szCs w:val="21"/>
                <w:lang w:val="en-US" w:eastAsia="zh-CN"/>
              </w:rPr>
              <w:t>t</w:t>
            </w:r>
            <w:r>
              <w:rPr>
                <w:rFonts w:hint="eastAsia"/>
                <w:color w:val="auto"/>
                <w:spacing w:val="0"/>
                <w:position w:val="0"/>
                <w:sz w:val="21"/>
                <w:szCs w:val="21"/>
              </w:rPr>
              <w:t>/a）</w:t>
            </w:r>
            <w:r>
              <w:rPr>
                <w:color w:val="auto"/>
                <w:spacing w:val="0"/>
                <w:position w:val="0"/>
                <w:sz w:val="21"/>
                <w:szCs w:val="21"/>
              </w:rPr>
              <w:t>。</w:t>
            </w:r>
          </w:p>
          <w:p w14:paraId="34E79016">
            <w:pPr>
              <w:keepNext w:val="0"/>
              <w:keepLines w:val="0"/>
              <w:pageBreakBefore w:val="0"/>
              <w:widowControl/>
              <w:numPr>
                <w:ilvl w:val="0"/>
                <w:numId w:val="0"/>
              </w:numPr>
              <w:kinsoku/>
              <w:wordWrap/>
              <w:overflowPunct/>
              <w:topLinePunct w:val="0"/>
              <w:autoSpaceDE/>
              <w:autoSpaceDN/>
              <w:bidi w:val="0"/>
              <w:spacing w:line="360" w:lineRule="auto"/>
              <w:ind w:firstLine="420" w:firstLineChars="200"/>
              <w:textAlignment w:val="auto"/>
              <w:rPr>
                <w:rFonts w:hint="eastAsia"/>
                <w:color w:val="auto"/>
                <w:spacing w:val="0"/>
                <w:position w:val="0"/>
                <w:sz w:val="21"/>
                <w:szCs w:val="21"/>
              </w:rPr>
            </w:pPr>
            <w:r>
              <w:rPr>
                <w:rFonts w:hint="eastAsia" w:ascii="Times New Roman" w:hAnsi="Times New Roman" w:eastAsia="宋体" w:cs="Times New Roman"/>
                <w:color w:val="auto"/>
                <w:spacing w:val="0"/>
                <w:kern w:val="2"/>
                <w:position w:val="0"/>
                <w:sz w:val="21"/>
                <w:szCs w:val="21"/>
                <w:lang w:val="en-US" w:eastAsia="zh-CN" w:bidi="ar-SA"/>
              </w:rPr>
              <w:t>2）</w:t>
            </w:r>
            <w:r>
              <w:rPr>
                <w:rFonts w:hint="eastAsia"/>
                <w:color w:val="auto"/>
                <w:spacing w:val="0"/>
                <w:position w:val="0"/>
                <w:sz w:val="21"/>
                <w:szCs w:val="21"/>
              </w:rPr>
              <w:t>生产</w:t>
            </w:r>
            <w:r>
              <w:rPr>
                <w:rFonts w:hint="eastAsia"/>
                <w:color w:val="auto"/>
                <w:spacing w:val="0"/>
                <w:position w:val="0"/>
                <w:sz w:val="21"/>
                <w:szCs w:val="21"/>
                <w:lang w:val="en-US" w:eastAsia="zh-CN"/>
              </w:rPr>
              <w:t>冷却</w:t>
            </w:r>
            <w:r>
              <w:rPr>
                <w:rFonts w:hint="eastAsia"/>
                <w:color w:val="auto"/>
                <w:spacing w:val="0"/>
                <w:position w:val="0"/>
                <w:sz w:val="21"/>
                <w:szCs w:val="21"/>
              </w:rPr>
              <w:t>用水</w:t>
            </w:r>
          </w:p>
          <w:p w14:paraId="259165A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color w:val="auto"/>
                <w:spacing w:val="0"/>
                <w:position w:val="0"/>
                <w:sz w:val="21"/>
                <w:szCs w:val="21"/>
                <w:lang w:val="en-US"/>
              </w:rPr>
            </w:pPr>
            <w:r>
              <w:rPr>
                <w:rFonts w:hint="eastAsia"/>
                <w:color w:val="auto"/>
                <w:spacing w:val="0"/>
                <w:kern w:val="0"/>
                <w:position w:val="0"/>
                <w:sz w:val="21"/>
                <w:szCs w:val="21"/>
                <w:lang w:val="en-US" w:eastAsia="zh-CN"/>
              </w:rPr>
              <w:t>本项目使用容量60t的冷却水罐，配备潜水泵，冷却水间接接触生产设备达到冷却效果。一年生产结束将水排至市政管网排水量为30t/a，年用水量为36t/a，年蒸发量为20%，每三个月补充2t新鲜水。</w:t>
            </w:r>
          </w:p>
          <w:p w14:paraId="3D8B1064">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eastAsia"/>
                <w:color w:val="auto"/>
                <w:spacing w:val="0"/>
                <w:position w:val="0"/>
                <w:sz w:val="21"/>
                <w:szCs w:val="21"/>
              </w:rPr>
            </w:pPr>
            <w:r>
              <w:rPr>
                <w:rFonts w:hint="eastAsia"/>
                <w:color w:val="auto"/>
                <w:spacing w:val="0"/>
                <w:kern w:val="0"/>
                <w:position w:val="0"/>
                <w:sz w:val="21"/>
                <w:szCs w:val="21"/>
              </w:rPr>
              <w:t>本项目用水总量为</w:t>
            </w:r>
            <w:r>
              <w:rPr>
                <w:rFonts w:hint="eastAsia"/>
                <w:color w:val="auto"/>
                <w:spacing w:val="0"/>
                <w:kern w:val="0"/>
                <w:position w:val="0"/>
                <w:sz w:val="21"/>
                <w:szCs w:val="21"/>
                <w:lang w:val="en-US" w:eastAsia="zh-CN"/>
              </w:rPr>
              <w:t>336</w:t>
            </w:r>
            <w:r>
              <w:rPr>
                <w:rFonts w:hint="eastAsia"/>
                <w:color w:val="auto"/>
                <w:spacing w:val="0"/>
                <w:kern w:val="0"/>
                <w:position w:val="0"/>
                <w:sz w:val="21"/>
                <w:szCs w:val="21"/>
              </w:rPr>
              <w:t>t/a，</w:t>
            </w:r>
            <w:r>
              <w:rPr>
                <w:rFonts w:hint="eastAsia"/>
                <w:color w:val="auto"/>
                <w:spacing w:val="0"/>
                <w:kern w:val="0"/>
                <w:position w:val="0"/>
                <w:sz w:val="21"/>
                <w:szCs w:val="21"/>
                <w:lang w:val="en-US" w:eastAsia="zh-CN"/>
              </w:rPr>
              <w:t>冷却水间接冷却生产设备，冷却水不含有机物等有害物质，一年生产结束后</w:t>
            </w:r>
            <w:r>
              <w:rPr>
                <w:rFonts w:hint="eastAsia"/>
                <w:color w:val="auto"/>
                <w:spacing w:val="0"/>
                <w:position w:val="0"/>
                <w:sz w:val="21"/>
                <w:szCs w:val="21"/>
                <w:lang w:val="en-US" w:eastAsia="zh-CN"/>
              </w:rPr>
              <w:t>直接排入市政管网（消耗6t，排出共30t）</w:t>
            </w:r>
            <w:r>
              <w:rPr>
                <w:rFonts w:hint="eastAsia"/>
                <w:color w:val="auto"/>
                <w:spacing w:val="0"/>
                <w:position w:val="0"/>
                <w:sz w:val="21"/>
                <w:szCs w:val="21"/>
                <w:lang w:eastAsia="zh-CN"/>
              </w:rPr>
              <w:t>；</w:t>
            </w:r>
            <w:r>
              <w:rPr>
                <w:rFonts w:hint="eastAsia"/>
                <w:color w:val="auto"/>
                <w:spacing w:val="0"/>
                <w:position w:val="0"/>
                <w:sz w:val="21"/>
                <w:szCs w:val="21"/>
                <w:lang w:val="en-US" w:eastAsia="zh-CN"/>
              </w:rPr>
              <w:t>生活废水排入化粪池（消耗60t，排出240t），处理后排入市政管网，最终由天北经开区污水处理厂处理，项目总排水量270</w:t>
            </w:r>
            <w:r>
              <w:rPr>
                <w:rFonts w:hint="eastAsia"/>
                <w:color w:val="auto"/>
                <w:spacing w:val="0"/>
                <w:kern w:val="0"/>
                <w:position w:val="0"/>
                <w:sz w:val="21"/>
                <w:szCs w:val="21"/>
              </w:rPr>
              <w:t>t/a</w:t>
            </w:r>
            <w:r>
              <w:rPr>
                <w:rFonts w:hint="eastAsia"/>
                <w:color w:val="auto"/>
                <w:spacing w:val="0"/>
                <w:position w:val="0"/>
                <w:sz w:val="21"/>
                <w:szCs w:val="21"/>
                <w:lang w:val="en-US" w:eastAsia="zh-CN"/>
              </w:rPr>
              <w:t>。</w:t>
            </w:r>
            <w:r>
              <w:rPr>
                <w:rFonts w:hint="eastAsia"/>
                <w:color w:val="auto"/>
                <w:spacing w:val="0"/>
                <w:position w:val="0"/>
                <w:sz w:val="21"/>
                <w:szCs w:val="21"/>
              </w:rPr>
              <w:t>无废水外排。</w:t>
            </w:r>
          </w:p>
          <w:p w14:paraId="420251C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表2-</w:t>
            </w:r>
            <w:r>
              <w:rPr>
                <w:rFonts w:hint="eastAsia" w:ascii="Times New Roman" w:hAnsi="Times New Roman" w:cs="Times New Roman"/>
                <w:b/>
                <w:snapToGrid w:val="0"/>
                <w:color w:val="auto"/>
                <w:spacing w:val="0"/>
                <w:kern w:val="0"/>
                <w:position w:val="0"/>
                <w:sz w:val="21"/>
                <w:szCs w:val="21"/>
                <w:lang w:val="en-US" w:eastAsia="zh-CN"/>
              </w:rPr>
              <w:t>8</w:t>
            </w:r>
            <w:r>
              <w:rPr>
                <w:rFonts w:hint="default" w:ascii="Times New Roman" w:hAnsi="Times New Roman" w:eastAsia="宋体" w:cs="Times New Roman"/>
                <w:b/>
                <w:snapToGrid w:val="0"/>
                <w:color w:val="auto"/>
                <w:spacing w:val="0"/>
                <w:kern w:val="0"/>
                <w:position w:val="0"/>
                <w:sz w:val="21"/>
                <w:szCs w:val="21"/>
                <w:lang w:val="en-US" w:eastAsia="zh-CN"/>
              </w:rPr>
              <w:t xml:space="preserve">   </w:t>
            </w:r>
            <w:r>
              <w:rPr>
                <w:rFonts w:hint="eastAsia" w:ascii="Times New Roman" w:hAnsi="Times New Roman" w:eastAsia="宋体" w:cs="Times New Roman"/>
                <w:b/>
                <w:snapToGrid w:val="0"/>
                <w:color w:val="auto"/>
                <w:spacing w:val="0"/>
                <w:kern w:val="0"/>
                <w:position w:val="0"/>
                <w:sz w:val="21"/>
                <w:szCs w:val="21"/>
                <w:lang w:val="en-US" w:eastAsia="zh-CN"/>
              </w:rPr>
              <w:t>新增用排水情况</w:t>
            </w:r>
          </w:p>
          <w:tbl>
            <w:tblPr>
              <w:tblStyle w:val="30"/>
              <w:tblW w:w="78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213"/>
              <w:gridCol w:w="1691"/>
              <w:gridCol w:w="1691"/>
              <w:gridCol w:w="1691"/>
            </w:tblGrid>
            <w:tr w14:paraId="1ADC8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restart"/>
                  <w:tcBorders>
                    <w:tl2br w:val="nil"/>
                    <w:tr2bl w:val="nil"/>
                  </w:tcBorders>
                  <w:noWrap w:val="0"/>
                  <w:tcMar>
                    <w:left w:w="51" w:type="dxa"/>
                    <w:right w:w="51" w:type="dxa"/>
                  </w:tcMar>
                  <w:vAlign w:val="center"/>
                </w:tcPr>
                <w:p w14:paraId="2ECAF1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775" w:type="pct"/>
                  <w:vMerge w:val="restart"/>
                  <w:tcBorders>
                    <w:tl2br w:val="nil"/>
                    <w:tr2bl w:val="nil"/>
                  </w:tcBorders>
                  <w:noWrap w:val="0"/>
                  <w:tcMar>
                    <w:left w:w="51" w:type="dxa"/>
                    <w:right w:w="51" w:type="dxa"/>
                  </w:tcMar>
                  <w:vAlign w:val="center"/>
                </w:tcPr>
                <w:p w14:paraId="4B3F12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项目名称</w:t>
                  </w:r>
                </w:p>
              </w:tc>
              <w:tc>
                <w:tcPr>
                  <w:tcW w:w="1080" w:type="pct"/>
                  <w:tcBorders>
                    <w:tl2br w:val="nil"/>
                    <w:tr2bl w:val="nil"/>
                  </w:tcBorders>
                  <w:noWrap w:val="0"/>
                  <w:tcMar>
                    <w:left w:w="51" w:type="dxa"/>
                    <w:right w:w="51" w:type="dxa"/>
                  </w:tcMar>
                  <w:vAlign w:val="center"/>
                </w:tcPr>
                <w:p w14:paraId="4FABF9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用水量</w:t>
                  </w:r>
                </w:p>
              </w:tc>
              <w:tc>
                <w:tcPr>
                  <w:tcW w:w="1080" w:type="pct"/>
                  <w:tcBorders>
                    <w:tl2br w:val="nil"/>
                    <w:tr2bl w:val="nil"/>
                  </w:tcBorders>
                  <w:noWrap w:val="0"/>
                  <w:tcMar>
                    <w:left w:w="51" w:type="dxa"/>
                    <w:right w:w="51" w:type="dxa"/>
                  </w:tcMar>
                  <w:vAlign w:val="center"/>
                </w:tcPr>
                <w:p w14:paraId="4651BF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lang w:val="en-US" w:eastAsia="zh-CN"/>
                    </w:rPr>
                    <w:t>消耗</w:t>
                  </w:r>
                  <w:r>
                    <w:rPr>
                      <w:rFonts w:hint="default" w:ascii="Times New Roman" w:hAnsi="Times New Roman" w:eastAsia="宋体" w:cs="Times New Roman"/>
                      <w:b/>
                      <w:color w:val="000000"/>
                      <w:sz w:val="21"/>
                      <w:szCs w:val="21"/>
                    </w:rPr>
                    <w:t>量</w:t>
                  </w:r>
                </w:p>
              </w:tc>
              <w:tc>
                <w:tcPr>
                  <w:tcW w:w="1080" w:type="pct"/>
                  <w:tcBorders>
                    <w:tl2br w:val="nil"/>
                    <w:tr2bl w:val="nil"/>
                  </w:tcBorders>
                  <w:noWrap w:val="0"/>
                  <w:tcMar>
                    <w:left w:w="51" w:type="dxa"/>
                    <w:right w:w="51" w:type="dxa"/>
                  </w:tcMar>
                  <w:vAlign w:val="center"/>
                </w:tcPr>
                <w:p w14:paraId="38B7EF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sz w:val="21"/>
                      <w:szCs w:val="21"/>
                    </w:rPr>
                    <w:t>排水量</w:t>
                  </w:r>
                </w:p>
              </w:tc>
            </w:tr>
            <w:tr w14:paraId="2866C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vMerge w:val="continue"/>
                  <w:tcBorders>
                    <w:tl2br w:val="nil"/>
                    <w:tr2bl w:val="nil"/>
                  </w:tcBorders>
                  <w:noWrap w:val="0"/>
                  <w:tcMar>
                    <w:left w:w="51" w:type="dxa"/>
                    <w:right w:w="51" w:type="dxa"/>
                  </w:tcMar>
                  <w:vAlign w:val="center"/>
                </w:tcPr>
                <w:p w14:paraId="3A9381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p>
              </w:tc>
              <w:tc>
                <w:tcPr>
                  <w:tcW w:w="775" w:type="pct"/>
                  <w:vMerge w:val="continue"/>
                  <w:tcBorders>
                    <w:tl2br w:val="nil"/>
                    <w:tr2bl w:val="nil"/>
                  </w:tcBorders>
                  <w:noWrap w:val="0"/>
                  <w:tcMar>
                    <w:left w:w="51" w:type="dxa"/>
                    <w:right w:w="51" w:type="dxa"/>
                  </w:tcMar>
                  <w:vAlign w:val="center"/>
                </w:tcPr>
                <w:p w14:paraId="44D155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p>
              </w:tc>
              <w:tc>
                <w:tcPr>
                  <w:tcW w:w="1080" w:type="pct"/>
                  <w:tcBorders>
                    <w:tl2br w:val="nil"/>
                    <w:tr2bl w:val="nil"/>
                  </w:tcBorders>
                  <w:noWrap w:val="0"/>
                  <w:tcMar>
                    <w:left w:w="51" w:type="dxa"/>
                    <w:right w:w="51" w:type="dxa"/>
                  </w:tcMar>
                  <w:vAlign w:val="center"/>
                </w:tcPr>
                <w:p w14:paraId="082568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m</w:t>
                  </w:r>
                  <w:r>
                    <w:rPr>
                      <w:rFonts w:hint="default" w:ascii="Times New Roman" w:hAnsi="Times New Roman" w:eastAsia="宋体" w:cs="Times New Roman"/>
                      <w:b/>
                      <w:color w:val="000000"/>
                      <w:sz w:val="21"/>
                      <w:szCs w:val="21"/>
                      <w:vertAlign w:val="superscript"/>
                    </w:rPr>
                    <w:t>3</w:t>
                  </w:r>
                  <w:r>
                    <w:rPr>
                      <w:rFonts w:hint="default" w:ascii="Times New Roman" w:hAnsi="Times New Roman" w:eastAsia="宋体" w:cs="Times New Roman"/>
                      <w:b/>
                      <w:color w:val="000000"/>
                      <w:sz w:val="21"/>
                      <w:szCs w:val="21"/>
                    </w:rPr>
                    <w:t>/a</w:t>
                  </w:r>
                </w:p>
              </w:tc>
              <w:tc>
                <w:tcPr>
                  <w:tcW w:w="1080" w:type="pct"/>
                  <w:tcBorders>
                    <w:tl2br w:val="nil"/>
                    <w:tr2bl w:val="nil"/>
                  </w:tcBorders>
                  <w:noWrap w:val="0"/>
                  <w:tcMar>
                    <w:left w:w="51" w:type="dxa"/>
                    <w:right w:w="51" w:type="dxa"/>
                  </w:tcMar>
                  <w:vAlign w:val="center"/>
                </w:tcPr>
                <w:p w14:paraId="49D7EE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m</w:t>
                  </w:r>
                  <w:r>
                    <w:rPr>
                      <w:rFonts w:hint="default" w:ascii="Times New Roman" w:hAnsi="Times New Roman" w:eastAsia="宋体" w:cs="Times New Roman"/>
                      <w:b/>
                      <w:color w:val="000000"/>
                      <w:sz w:val="21"/>
                      <w:szCs w:val="21"/>
                      <w:vertAlign w:val="superscript"/>
                    </w:rPr>
                    <w:t>3</w:t>
                  </w:r>
                  <w:r>
                    <w:rPr>
                      <w:rFonts w:hint="default" w:ascii="Times New Roman" w:hAnsi="Times New Roman" w:eastAsia="宋体" w:cs="Times New Roman"/>
                      <w:b/>
                      <w:color w:val="000000"/>
                      <w:sz w:val="21"/>
                      <w:szCs w:val="21"/>
                    </w:rPr>
                    <w:t>/a</w:t>
                  </w:r>
                </w:p>
              </w:tc>
              <w:tc>
                <w:tcPr>
                  <w:tcW w:w="1080" w:type="pct"/>
                  <w:tcBorders>
                    <w:tl2br w:val="nil"/>
                    <w:tr2bl w:val="nil"/>
                  </w:tcBorders>
                  <w:noWrap w:val="0"/>
                  <w:tcMar>
                    <w:left w:w="51" w:type="dxa"/>
                    <w:right w:w="51" w:type="dxa"/>
                  </w:tcMar>
                  <w:vAlign w:val="center"/>
                </w:tcPr>
                <w:p w14:paraId="3715EC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color w:val="000000"/>
                      <w:sz w:val="21"/>
                      <w:szCs w:val="21"/>
                    </w:rPr>
                    <w:t>m</w:t>
                  </w:r>
                  <w:r>
                    <w:rPr>
                      <w:rFonts w:hint="default" w:ascii="Times New Roman" w:hAnsi="Times New Roman" w:eastAsia="宋体" w:cs="Times New Roman"/>
                      <w:b/>
                      <w:color w:val="000000"/>
                      <w:sz w:val="21"/>
                      <w:szCs w:val="21"/>
                      <w:vertAlign w:val="superscript"/>
                    </w:rPr>
                    <w:t>3</w:t>
                  </w:r>
                  <w:r>
                    <w:rPr>
                      <w:rFonts w:hint="default" w:ascii="Times New Roman" w:hAnsi="Times New Roman" w:eastAsia="宋体" w:cs="Times New Roman"/>
                      <w:b/>
                      <w:color w:val="000000"/>
                      <w:sz w:val="21"/>
                      <w:szCs w:val="21"/>
                    </w:rPr>
                    <w:t>/a</w:t>
                  </w:r>
                </w:p>
              </w:tc>
            </w:tr>
            <w:tr w14:paraId="4205C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pct"/>
                  <w:tcBorders>
                    <w:tl2br w:val="nil"/>
                    <w:tr2bl w:val="nil"/>
                  </w:tcBorders>
                  <w:noWrap w:val="0"/>
                  <w:tcMar>
                    <w:left w:w="51" w:type="dxa"/>
                    <w:right w:w="51" w:type="dxa"/>
                  </w:tcMar>
                  <w:vAlign w:val="center"/>
                </w:tcPr>
                <w:p w14:paraId="713641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775" w:type="pct"/>
                  <w:tcBorders>
                    <w:tl2br w:val="nil"/>
                    <w:tr2bl w:val="nil"/>
                  </w:tcBorders>
                  <w:noWrap w:val="0"/>
                  <w:tcMar>
                    <w:left w:w="51" w:type="dxa"/>
                    <w:right w:w="51" w:type="dxa"/>
                  </w:tcMar>
                  <w:vAlign w:val="center"/>
                </w:tcPr>
                <w:p w14:paraId="3804C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生活用水</w:t>
                  </w:r>
                </w:p>
              </w:tc>
              <w:tc>
                <w:tcPr>
                  <w:tcW w:w="1080" w:type="pct"/>
                  <w:tcBorders>
                    <w:tl2br w:val="nil"/>
                    <w:tr2bl w:val="nil"/>
                  </w:tcBorders>
                  <w:noWrap w:val="0"/>
                  <w:tcMar>
                    <w:left w:w="51" w:type="dxa"/>
                    <w:right w:w="51" w:type="dxa"/>
                  </w:tcMar>
                  <w:vAlign w:val="center"/>
                </w:tcPr>
                <w:p w14:paraId="5A4FDA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300</w:t>
                  </w:r>
                </w:p>
              </w:tc>
              <w:tc>
                <w:tcPr>
                  <w:tcW w:w="1080" w:type="pct"/>
                  <w:tcBorders>
                    <w:tl2br w:val="nil"/>
                    <w:tr2bl w:val="nil"/>
                  </w:tcBorders>
                  <w:noWrap w:val="0"/>
                  <w:tcMar>
                    <w:left w:w="51" w:type="dxa"/>
                    <w:right w:w="51" w:type="dxa"/>
                  </w:tcMar>
                  <w:vAlign w:val="center"/>
                </w:tcPr>
                <w:p w14:paraId="00CA2D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c>
                <w:tcPr>
                  <w:tcW w:w="1080" w:type="pct"/>
                  <w:tcBorders>
                    <w:tl2br w:val="nil"/>
                    <w:tr2bl w:val="nil"/>
                  </w:tcBorders>
                  <w:noWrap w:val="0"/>
                  <w:tcMar>
                    <w:left w:w="51" w:type="dxa"/>
                    <w:right w:w="51" w:type="dxa"/>
                  </w:tcMar>
                  <w:vAlign w:val="center"/>
                </w:tcPr>
                <w:p w14:paraId="118584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240</w:t>
                  </w:r>
                </w:p>
              </w:tc>
            </w:tr>
            <w:tr w14:paraId="0ACDD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83" w:type="pct"/>
                  <w:tcBorders>
                    <w:tl2br w:val="nil"/>
                    <w:tr2bl w:val="nil"/>
                  </w:tcBorders>
                  <w:noWrap w:val="0"/>
                  <w:tcMar>
                    <w:left w:w="51" w:type="dxa"/>
                    <w:right w:w="51" w:type="dxa"/>
                  </w:tcMar>
                  <w:vAlign w:val="center"/>
                </w:tcPr>
                <w:p w14:paraId="2A0AF6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775" w:type="pct"/>
                  <w:tcBorders>
                    <w:tl2br w:val="nil"/>
                    <w:tr2bl w:val="nil"/>
                  </w:tcBorders>
                  <w:noWrap w:val="0"/>
                  <w:tcMar>
                    <w:left w:w="51" w:type="dxa"/>
                    <w:right w:w="51" w:type="dxa"/>
                  </w:tcMar>
                  <w:vAlign w:val="center"/>
                </w:tcPr>
                <w:p w14:paraId="055467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循环冷却水</w:t>
                  </w:r>
                </w:p>
              </w:tc>
              <w:tc>
                <w:tcPr>
                  <w:tcW w:w="1080" w:type="pct"/>
                  <w:tcBorders>
                    <w:tl2br w:val="nil"/>
                    <w:tr2bl w:val="nil"/>
                  </w:tcBorders>
                  <w:noWrap w:val="0"/>
                  <w:tcMar>
                    <w:left w:w="51" w:type="dxa"/>
                    <w:right w:w="51" w:type="dxa"/>
                  </w:tcMar>
                  <w:vAlign w:val="center"/>
                </w:tcPr>
                <w:p w14:paraId="749186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r>
                    <w:rPr>
                      <w:rFonts w:hint="eastAsia" w:cs="Times New Roman"/>
                      <w:color w:val="000000"/>
                      <w:sz w:val="21"/>
                      <w:szCs w:val="21"/>
                      <w:lang w:val="en-US" w:eastAsia="zh-CN"/>
                    </w:rPr>
                    <w:t>6</w:t>
                  </w:r>
                </w:p>
              </w:tc>
              <w:tc>
                <w:tcPr>
                  <w:tcW w:w="1080" w:type="pct"/>
                  <w:tcBorders>
                    <w:tl2br w:val="nil"/>
                    <w:tr2bl w:val="nil"/>
                  </w:tcBorders>
                  <w:noWrap w:val="0"/>
                  <w:tcMar>
                    <w:left w:w="51" w:type="dxa"/>
                    <w:right w:w="51" w:type="dxa"/>
                  </w:tcMar>
                  <w:vAlign w:val="center"/>
                </w:tcPr>
                <w:p w14:paraId="1A6FE5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w:t>
                  </w:r>
                </w:p>
              </w:tc>
              <w:tc>
                <w:tcPr>
                  <w:tcW w:w="1080" w:type="pct"/>
                  <w:tcBorders>
                    <w:tl2br w:val="nil"/>
                    <w:tr2bl w:val="nil"/>
                  </w:tcBorders>
                  <w:noWrap w:val="0"/>
                  <w:tcMar>
                    <w:left w:w="51" w:type="dxa"/>
                    <w:right w:w="51" w:type="dxa"/>
                  </w:tcMar>
                  <w:vAlign w:val="center"/>
                </w:tcPr>
                <w:p w14:paraId="277659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30</w:t>
                  </w:r>
                </w:p>
              </w:tc>
            </w:tr>
            <w:tr w14:paraId="43FCC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8" w:type="pct"/>
                  <w:gridSpan w:val="2"/>
                  <w:tcBorders>
                    <w:tl2br w:val="nil"/>
                    <w:tr2bl w:val="nil"/>
                  </w:tcBorders>
                  <w:noWrap w:val="0"/>
                  <w:tcMar>
                    <w:left w:w="51" w:type="dxa"/>
                    <w:right w:w="51" w:type="dxa"/>
                  </w:tcMar>
                  <w:vAlign w:val="center"/>
                </w:tcPr>
                <w:p w14:paraId="578987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总计</w:t>
                  </w:r>
                </w:p>
              </w:tc>
              <w:tc>
                <w:tcPr>
                  <w:tcW w:w="1080" w:type="pct"/>
                  <w:tcBorders>
                    <w:tl2br w:val="nil"/>
                    <w:tr2bl w:val="nil"/>
                  </w:tcBorders>
                  <w:noWrap w:val="0"/>
                  <w:tcMar>
                    <w:left w:w="51" w:type="dxa"/>
                    <w:right w:w="51" w:type="dxa"/>
                  </w:tcMar>
                  <w:vAlign w:val="center"/>
                </w:tcPr>
                <w:p w14:paraId="7F28F2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33</w:t>
                  </w:r>
                  <w:r>
                    <w:rPr>
                      <w:rFonts w:hint="eastAsia" w:cs="Times New Roman"/>
                      <w:color w:val="000000"/>
                      <w:sz w:val="21"/>
                      <w:szCs w:val="21"/>
                      <w:lang w:val="en-US" w:eastAsia="zh-CN"/>
                    </w:rPr>
                    <w:t>6</w:t>
                  </w:r>
                </w:p>
              </w:tc>
              <w:tc>
                <w:tcPr>
                  <w:tcW w:w="1080" w:type="pct"/>
                  <w:tcBorders>
                    <w:tl2br w:val="nil"/>
                    <w:tr2bl w:val="nil"/>
                  </w:tcBorders>
                  <w:noWrap w:val="0"/>
                  <w:tcMar>
                    <w:left w:w="51" w:type="dxa"/>
                    <w:right w:w="51" w:type="dxa"/>
                  </w:tcMar>
                  <w:vAlign w:val="center"/>
                </w:tcPr>
                <w:p w14:paraId="75E7C2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r>
                    <w:rPr>
                      <w:rFonts w:hint="eastAsia" w:cs="Times New Roman"/>
                      <w:color w:val="000000"/>
                      <w:sz w:val="21"/>
                      <w:szCs w:val="21"/>
                      <w:lang w:val="en-US" w:eastAsia="zh-CN"/>
                    </w:rPr>
                    <w:t>6</w:t>
                  </w:r>
                </w:p>
              </w:tc>
              <w:tc>
                <w:tcPr>
                  <w:tcW w:w="1080" w:type="pct"/>
                  <w:tcBorders>
                    <w:tl2br w:val="nil"/>
                    <w:tr2bl w:val="nil"/>
                  </w:tcBorders>
                  <w:noWrap w:val="0"/>
                  <w:tcMar>
                    <w:left w:w="51" w:type="dxa"/>
                    <w:right w:w="51" w:type="dxa"/>
                  </w:tcMar>
                  <w:vAlign w:val="center"/>
                </w:tcPr>
                <w:p w14:paraId="3C769B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270</w:t>
                  </w:r>
                </w:p>
              </w:tc>
            </w:tr>
          </w:tbl>
          <w:p w14:paraId="0F49C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FF"/>
                <w:spacing w:val="0"/>
                <w:position w:val="0"/>
                <w:sz w:val="21"/>
                <w:szCs w:val="21"/>
                <w:lang w:eastAsia="zh-CN"/>
              </w:rPr>
            </w:pPr>
          </w:p>
          <w:p w14:paraId="00F988F7">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lang w:eastAsia="zh-CN"/>
              </w:rPr>
            </w:pPr>
            <w:r>
              <w:rPr>
                <w:rFonts w:hint="eastAsia"/>
                <w:lang w:eastAsia="zh-CN"/>
              </w:rPr>
              <w:drawing>
                <wp:inline distT="0" distB="0" distL="114300" distR="114300">
                  <wp:extent cx="3415030" cy="1570355"/>
                  <wp:effectExtent l="0" t="0" r="0" b="0"/>
                  <wp:docPr id="46" name="ECB019B1-382A-4266-B25C-5B523AA43C14-1" descr="C:/Users/AAA/AppData/Local/Temp/wps.DwBHZ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 descr="C:/Users/AAA/AppData/Local/Temp/wps.DwBHZpwps"/>
                          <pic:cNvPicPr>
                            <a:picLocks noChangeAspect="1"/>
                          </pic:cNvPicPr>
                        </pic:nvPicPr>
                        <pic:blipFill>
                          <a:blip r:embed="rId15"/>
                          <a:stretch>
                            <a:fillRect/>
                          </a:stretch>
                        </pic:blipFill>
                        <pic:spPr>
                          <a:xfrm>
                            <a:off x="0" y="0"/>
                            <a:ext cx="3415030" cy="1570355"/>
                          </a:xfrm>
                          <a:prstGeom prst="rect">
                            <a:avLst/>
                          </a:prstGeom>
                        </pic:spPr>
                      </pic:pic>
                    </a:graphicData>
                  </a:graphic>
                </wp:inline>
              </w:drawing>
            </w:r>
          </w:p>
          <w:p w14:paraId="45BE4D4F">
            <w:pPr>
              <w:pStyle w:val="9"/>
              <w:ind w:firstLine="0" w:firstLineChars="0"/>
              <w:jc w:val="center"/>
              <w:rPr>
                <w:rFonts w:eastAsia="黑体"/>
                <w:color w:val="auto"/>
                <w:spacing w:val="0"/>
                <w:position w:val="0"/>
                <w:sz w:val="21"/>
                <w:szCs w:val="21"/>
              </w:rPr>
            </w:pPr>
            <w:r>
              <w:rPr>
                <w:rFonts w:hint="eastAsia" w:eastAsia="黑体"/>
                <w:color w:val="auto"/>
                <w:spacing w:val="0"/>
                <w:position w:val="0"/>
                <w:sz w:val="21"/>
                <w:szCs w:val="21"/>
              </w:rPr>
              <w:t>图</w:t>
            </w:r>
            <w:r>
              <w:rPr>
                <w:rFonts w:hint="eastAsia" w:eastAsia="黑体"/>
                <w:color w:val="auto"/>
                <w:spacing w:val="0"/>
                <w:position w:val="0"/>
                <w:sz w:val="21"/>
                <w:szCs w:val="21"/>
                <w:lang w:val="en-US" w:eastAsia="zh-CN"/>
              </w:rPr>
              <w:t>2-3</w:t>
            </w:r>
            <w:r>
              <w:rPr>
                <w:rFonts w:eastAsia="黑体"/>
                <w:color w:val="auto"/>
                <w:spacing w:val="0"/>
                <w:position w:val="0"/>
                <w:sz w:val="21"/>
                <w:szCs w:val="21"/>
              </w:rPr>
              <w:t xml:space="preserve"> 水平衡图（</w:t>
            </w:r>
            <w:r>
              <w:rPr>
                <w:rFonts w:hint="eastAsia" w:eastAsia="黑体"/>
                <w:color w:val="auto"/>
                <w:spacing w:val="0"/>
                <w:position w:val="0"/>
                <w:sz w:val="21"/>
                <w:szCs w:val="21"/>
                <w:lang w:val="en-US" w:eastAsia="zh-CN"/>
              </w:rPr>
              <w:t>t</w:t>
            </w:r>
            <w:r>
              <w:rPr>
                <w:rFonts w:eastAsia="黑体"/>
                <w:color w:val="auto"/>
                <w:spacing w:val="0"/>
                <w:position w:val="0"/>
                <w:sz w:val="21"/>
                <w:szCs w:val="21"/>
              </w:rPr>
              <w:t>）</w:t>
            </w:r>
          </w:p>
          <w:p w14:paraId="061A1F9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cs="Times New Roman"/>
                <w:b w:val="0"/>
                <w:bCs/>
                <w:color w:val="auto"/>
                <w:spacing w:val="0"/>
                <w:position w:val="0"/>
                <w:sz w:val="21"/>
                <w:szCs w:val="21"/>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（2）</w:t>
            </w:r>
            <w:r>
              <w:rPr>
                <w:rFonts w:hint="eastAsia" w:ascii="Times New Roman" w:hAnsi="Times New Roman" w:cs="Times New Roman"/>
                <w:b w:val="0"/>
                <w:bCs/>
                <w:color w:val="auto"/>
                <w:spacing w:val="0"/>
                <w:position w:val="0"/>
                <w:sz w:val="21"/>
                <w:szCs w:val="21"/>
                <w:lang w:val="en-US" w:eastAsia="zh-CN"/>
              </w:rPr>
              <w:t>供</w:t>
            </w:r>
            <w:r>
              <w:rPr>
                <w:rFonts w:hint="eastAsia" w:cs="Times New Roman"/>
                <w:b w:val="0"/>
                <w:bCs/>
                <w:color w:val="auto"/>
                <w:spacing w:val="0"/>
                <w:position w:val="0"/>
                <w:sz w:val="21"/>
                <w:szCs w:val="21"/>
                <w:lang w:val="en-US" w:eastAsia="zh-CN"/>
              </w:rPr>
              <w:t>电</w:t>
            </w:r>
          </w:p>
          <w:p w14:paraId="42F0B0CB">
            <w:pPr>
              <w:keepNext w:val="0"/>
              <w:keepLines w:val="0"/>
              <w:pageBreakBefore w:val="0"/>
              <w:shd w:val="clear" w:color="auto" w:fill="auto"/>
              <w:kinsoku/>
              <w:wordWrap/>
              <w:topLinePunct/>
              <w:bidi w:val="0"/>
              <w:adjustRightInd/>
              <w:snapToGrid/>
              <w:spacing w:line="360" w:lineRule="auto"/>
              <w:ind w:firstLine="420" w:firstLineChars="20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项目用电由</w:t>
            </w:r>
            <w:r>
              <w:rPr>
                <w:rFonts w:hint="default" w:ascii="Times New Roman" w:hAnsi="Times New Roman" w:eastAsia="宋体" w:cs="Times New Roman"/>
                <w:snapToGrid w:val="0"/>
                <w:color w:val="auto"/>
                <w:kern w:val="0"/>
                <w:sz w:val="21"/>
                <w:szCs w:val="21"/>
                <w:highlight w:val="none"/>
                <w:lang w:eastAsia="zh-CN"/>
              </w:rPr>
              <w:t>国家</w:t>
            </w:r>
            <w:r>
              <w:rPr>
                <w:rFonts w:hint="default" w:ascii="Times New Roman" w:hAnsi="Times New Roman" w:eastAsia="宋体" w:cs="Times New Roman"/>
                <w:snapToGrid w:val="0"/>
                <w:color w:val="auto"/>
                <w:kern w:val="0"/>
                <w:sz w:val="21"/>
                <w:szCs w:val="21"/>
                <w:highlight w:val="none"/>
              </w:rPr>
              <w:t>电网供给</w:t>
            </w:r>
            <w:r>
              <w:rPr>
                <w:rStyle w:val="120"/>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snapToGrid w:val="0"/>
                <w:color w:val="auto"/>
                <w:kern w:val="0"/>
                <w:sz w:val="21"/>
                <w:szCs w:val="21"/>
                <w:highlight w:val="none"/>
              </w:rPr>
              <w:t>经变压器变配电后使用，可满足项目用电负荷的需要及对供电可靠性的要求。</w:t>
            </w:r>
          </w:p>
          <w:p w14:paraId="0EC069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 w:val="0"/>
                <w:bCs/>
                <w:color w:val="auto"/>
                <w:spacing w:val="0"/>
                <w:position w:val="0"/>
                <w:sz w:val="21"/>
                <w:szCs w:val="21"/>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w:t>
            </w:r>
            <w:r>
              <w:rPr>
                <w:rFonts w:hint="eastAsia" w:cs="Times New Roman"/>
                <w:b w:val="0"/>
                <w:bCs/>
                <w:color w:val="auto"/>
                <w:spacing w:val="0"/>
                <w:kern w:val="2"/>
                <w:position w:val="0"/>
                <w:sz w:val="21"/>
                <w:szCs w:val="21"/>
                <w:lang w:val="en-US" w:eastAsia="zh-CN" w:bidi="ar-SA"/>
              </w:rPr>
              <w:t>3</w:t>
            </w:r>
            <w:r>
              <w:rPr>
                <w:rFonts w:hint="eastAsia" w:ascii="Times New Roman" w:hAnsi="Times New Roman" w:eastAsia="宋体" w:cs="Times New Roman"/>
                <w:b w:val="0"/>
                <w:bCs/>
                <w:color w:val="auto"/>
                <w:spacing w:val="0"/>
                <w:kern w:val="2"/>
                <w:position w:val="0"/>
                <w:sz w:val="21"/>
                <w:szCs w:val="21"/>
                <w:lang w:val="en-US" w:eastAsia="zh-CN" w:bidi="ar-SA"/>
              </w:rPr>
              <w:t>）</w:t>
            </w:r>
            <w:r>
              <w:rPr>
                <w:rFonts w:hint="eastAsia" w:ascii="Times New Roman" w:hAnsi="Times New Roman" w:cs="Times New Roman"/>
                <w:b w:val="0"/>
                <w:bCs/>
                <w:color w:val="auto"/>
                <w:spacing w:val="0"/>
                <w:position w:val="0"/>
                <w:sz w:val="21"/>
                <w:szCs w:val="21"/>
                <w:lang w:val="en-US" w:eastAsia="zh-CN"/>
              </w:rPr>
              <w:t>供</w:t>
            </w:r>
            <w:r>
              <w:rPr>
                <w:rFonts w:hint="eastAsia" w:cs="Times New Roman"/>
                <w:b w:val="0"/>
                <w:bCs/>
                <w:color w:val="auto"/>
                <w:spacing w:val="0"/>
                <w:position w:val="0"/>
                <w:sz w:val="21"/>
                <w:szCs w:val="21"/>
                <w:lang w:val="en-US" w:eastAsia="zh-CN"/>
              </w:rPr>
              <w:t>暖</w:t>
            </w:r>
          </w:p>
          <w:p w14:paraId="439E112E">
            <w:pPr>
              <w:keepNext w:val="0"/>
              <w:keepLines w:val="0"/>
              <w:pageBreakBefore w:val="0"/>
              <w:shd w:val="clear" w:color="auto" w:fill="auto"/>
              <w:kinsoku/>
              <w:wordWrap/>
              <w:topLinePunct/>
              <w:bidi w:val="0"/>
              <w:adjustRightInd/>
              <w:snapToGrid/>
              <w:spacing w:line="360" w:lineRule="auto"/>
              <w:ind w:firstLine="420" w:firstLineChars="200"/>
            </w:pPr>
            <w:r>
              <w:rPr>
                <w:rFonts w:hint="default" w:ascii="Times New Roman" w:hAnsi="Times New Roman" w:eastAsia="宋体" w:cs="Times New Roman"/>
                <w:snapToGrid w:val="0"/>
                <w:color w:val="auto"/>
                <w:kern w:val="0"/>
                <w:sz w:val="21"/>
                <w:szCs w:val="21"/>
                <w:highlight w:val="none"/>
                <w:lang w:eastAsia="zh-CN"/>
              </w:rPr>
              <w:t>本</w:t>
            </w:r>
            <w:r>
              <w:rPr>
                <w:rFonts w:hint="default" w:ascii="Times New Roman" w:hAnsi="Times New Roman" w:eastAsia="宋体" w:cs="Times New Roman"/>
                <w:snapToGrid w:val="0"/>
                <w:color w:val="auto"/>
                <w:kern w:val="0"/>
                <w:sz w:val="21"/>
                <w:szCs w:val="21"/>
                <w:highlight w:val="none"/>
              </w:rPr>
              <w:t>项目</w:t>
            </w:r>
            <w:r>
              <w:rPr>
                <w:rFonts w:hint="default" w:ascii="Times New Roman" w:hAnsi="Times New Roman" w:eastAsia="宋体" w:cs="Times New Roman"/>
                <w:color w:val="auto"/>
                <w:sz w:val="21"/>
                <w:szCs w:val="21"/>
                <w:lang w:val="en-US" w:eastAsia="zh-CN" w:bidi="ar-SA"/>
              </w:rPr>
              <w:t>生产</w:t>
            </w:r>
            <w:r>
              <w:rPr>
                <w:rFonts w:hint="eastAsia" w:ascii="Times New Roman" w:hAnsi="Times New Roman" w:eastAsia="宋体" w:cs="Times New Roman"/>
                <w:color w:val="auto"/>
                <w:sz w:val="21"/>
                <w:szCs w:val="21"/>
                <w:lang w:val="en-US" w:eastAsia="zh-CN" w:bidi="ar-SA"/>
              </w:rPr>
              <w:t>采用电</w:t>
            </w:r>
            <w:r>
              <w:rPr>
                <w:rFonts w:hint="default" w:ascii="Times New Roman" w:hAnsi="Times New Roman" w:eastAsia="宋体" w:cs="Times New Roman"/>
                <w:color w:val="auto"/>
                <w:sz w:val="21"/>
                <w:szCs w:val="21"/>
                <w:lang w:val="en-US" w:eastAsia="zh-CN" w:bidi="ar-SA"/>
              </w:rPr>
              <w:t>供热，办公室冬季值班采用电采暖</w:t>
            </w:r>
            <w:r>
              <w:rPr>
                <w:rFonts w:hint="default" w:ascii="Times New Roman" w:hAnsi="Times New Roman" w:eastAsia="宋体" w:cs="Times New Roman"/>
                <w:snapToGrid w:val="0"/>
                <w:color w:val="auto"/>
                <w:kern w:val="0"/>
                <w:sz w:val="21"/>
                <w:szCs w:val="21"/>
                <w:highlight w:val="none"/>
              </w:rPr>
              <w:t>。</w:t>
            </w:r>
          </w:p>
        </w:tc>
      </w:tr>
      <w:tr w14:paraId="244A7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Align w:val="center"/>
          </w:tcPr>
          <w:p w14:paraId="12985803">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98A487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229E71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BCFB12A">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278A76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E8BB1F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7A91E9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21C344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86098C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85E62E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3495D0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工艺流程和产排污环节</w:t>
            </w:r>
          </w:p>
          <w:p w14:paraId="20D08A3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F2255B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CCB7D6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1A07E8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E43481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5336302">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67BB3B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586FD9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28E541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6304DC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AF510C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DDB549D">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659542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013FCE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B43F47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DDC85C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AE93964">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B3089B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工艺流程和产排污环节</w:t>
            </w:r>
          </w:p>
          <w:p w14:paraId="7FFA856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93EF97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693F07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7C580F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A2AA16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D49CA23">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7499140">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554F41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632BEF5">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D0FC5F1">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63C5476">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15BA6A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7168883">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00620F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7FC10B0">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A16F3E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7DA2A23A">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AC2CD7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689551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2FA7A09B">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22C0CD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position w:val="0"/>
                <w:sz w:val="21"/>
                <w:szCs w:val="21"/>
              </w:rPr>
            </w:pPr>
            <w:r>
              <w:rPr>
                <w:rFonts w:ascii="Times New Roman" w:hAnsi="Times New Roman"/>
                <w:color w:val="auto"/>
                <w:spacing w:val="0"/>
                <w:position w:val="0"/>
                <w:sz w:val="21"/>
                <w:szCs w:val="21"/>
              </w:rPr>
              <w:t>工艺流程和产排污环节</w:t>
            </w:r>
          </w:p>
          <w:p w14:paraId="63F0073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3363216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1FCA7B09">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E469F37">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04D0040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5E77AE3C">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43AE160E">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DA32ACF">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p w14:paraId="62E4F198">
            <w:pPr>
              <w:pStyle w:val="25"/>
              <w:adjustRightInd w:val="0"/>
              <w:snapToGrid w:val="0"/>
              <w:spacing w:before="0" w:beforeAutospacing="0" w:after="0" w:afterAutospacing="0"/>
              <w:ind w:firstLine="0" w:firstLineChars="0"/>
              <w:jc w:val="both"/>
              <w:rPr>
                <w:rFonts w:ascii="Times New Roman" w:hAnsi="Times New Roman"/>
                <w:color w:val="auto"/>
                <w:spacing w:val="0"/>
                <w:position w:val="0"/>
                <w:sz w:val="21"/>
                <w:szCs w:val="21"/>
              </w:rPr>
            </w:pPr>
          </w:p>
        </w:tc>
        <w:tc>
          <w:tcPr>
            <w:tcW w:w="4746" w:type="pct"/>
          </w:tcPr>
          <w:p w14:paraId="4927ACA2">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0" w:firstLineChars="0"/>
              <w:textAlignment w:val="auto"/>
              <w:rPr>
                <w:rFonts w:hint="default"/>
                <w:b/>
                <w:bCs/>
                <w:color w:val="auto"/>
                <w:spacing w:val="0"/>
                <w:position w:val="0"/>
                <w:sz w:val="21"/>
                <w:szCs w:val="21"/>
                <w:lang w:val="en-US" w:eastAsia="zh-CN"/>
              </w:rPr>
            </w:pPr>
            <w:r>
              <w:rPr>
                <w:rFonts w:hint="eastAsia"/>
                <w:b/>
                <w:bCs/>
                <w:color w:val="auto"/>
                <w:spacing w:val="0"/>
                <w:position w:val="0"/>
                <w:sz w:val="21"/>
                <w:szCs w:val="21"/>
                <w:lang w:val="en-US" w:eastAsia="zh-CN"/>
              </w:rPr>
              <w:t>施工期</w:t>
            </w:r>
          </w:p>
          <w:p w14:paraId="2178913F">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eastAsia"/>
                <w:color w:val="auto"/>
                <w:spacing w:val="0"/>
                <w:position w:val="0"/>
                <w:sz w:val="21"/>
                <w:szCs w:val="21"/>
              </w:rPr>
            </w:pPr>
            <w:r>
              <w:rPr>
                <w:rFonts w:hint="eastAsia"/>
                <w:b w:val="0"/>
                <w:bCs w:val="0"/>
                <w:color w:val="auto"/>
                <w:spacing w:val="0"/>
                <w:position w:val="0"/>
                <w:sz w:val="21"/>
                <w:szCs w:val="21"/>
                <w:lang w:val="en-US" w:eastAsia="zh-CN"/>
              </w:rPr>
              <w:t>本项目所用厂房为现有厂房，施工需安装生产设备及密封间的建设。生产设备的安装为物理安装，过程仅产生噪声，产生的少量垃圾交由环卫部门处理。施工期工艺流程</w:t>
            </w:r>
            <w:r>
              <w:rPr>
                <w:rFonts w:hint="eastAsia"/>
                <w:color w:val="auto"/>
                <w:spacing w:val="0"/>
                <w:position w:val="0"/>
                <w:sz w:val="21"/>
                <w:szCs w:val="21"/>
              </w:rPr>
              <w:t>及产污环节如下</w:t>
            </w:r>
            <w:r>
              <w:rPr>
                <w:rFonts w:hint="eastAsia"/>
                <w:color w:val="auto"/>
                <w:spacing w:val="0"/>
                <w:position w:val="0"/>
                <w:sz w:val="21"/>
                <w:szCs w:val="21"/>
                <w:lang w:val="en-US" w:eastAsia="zh-CN"/>
              </w:rPr>
              <w:t>图</w:t>
            </w:r>
            <w:r>
              <w:rPr>
                <w:rFonts w:hint="eastAsia"/>
                <w:color w:val="auto"/>
                <w:spacing w:val="0"/>
                <w:position w:val="0"/>
                <w:sz w:val="21"/>
                <w:szCs w:val="21"/>
              </w:rPr>
              <w:t>：</w:t>
            </w:r>
          </w:p>
          <w:p w14:paraId="2610C9BC">
            <w:pPr>
              <w:keepNext w:val="0"/>
              <w:keepLines w:val="0"/>
              <w:pageBreakBefore w:val="0"/>
              <w:widowControl w:val="0"/>
              <w:kinsoku/>
              <w:wordWrap/>
              <w:overflowPunct/>
              <w:topLinePunct w:val="0"/>
              <w:autoSpaceDE/>
              <w:autoSpaceDN/>
              <w:bidi w:val="0"/>
              <w:adjustRightInd w:val="0"/>
              <w:snapToGrid w:val="0"/>
              <w:spacing w:line="360" w:lineRule="auto"/>
              <w:ind w:right="0" w:firstLine="0" w:firstLineChars="0"/>
              <w:jc w:val="center"/>
              <w:textAlignment w:val="auto"/>
              <w:rPr>
                <w:rFonts w:hint="eastAsia" w:eastAsia="宋体"/>
                <w:color w:val="auto"/>
                <w:spacing w:val="0"/>
                <w:position w:val="0"/>
                <w:sz w:val="21"/>
                <w:szCs w:val="21"/>
                <w:lang w:val="en-US" w:eastAsia="zh-CN"/>
              </w:rPr>
            </w:pPr>
            <w:r>
              <w:rPr>
                <w:rFonts w:hint="eastAsia" w:eastAsia="宋体"/>
                <w:color w:val="auto"/>
                <w:spacing w:val="0"/>
                <w:position w:val="0"/>
                <w:sz w:val="21"/>
                <w:szCs w:val="21"/>
                <w:lang w:val="en-US" w:eastAsia="zh-CN"/>
              </w:rPr>
              <w:drawing>
                <wp:inline distT="0" distB="0" distL="114300" distR="114300">
                  <wp:extent cx="2258060" cy="1537970"/>
                  <wp:effectExtent l="9525" t="9525" r="18415" b="14605"/>
                  <wp:docPr id="8" name="ECB019B1-382A-4266-B25C-5B523AA43C14-2" descr="C:/Users/AAA/AppData/Local/Temp/wps.GwrlP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AAA/AppData/Local/Temp/wps.GwrlPkwps"/>
                          <pic:cNvPicPr>
                            <a:picLocks noChangeAspect="1"/>
                          </pic:cNvPicPr>
                        </pic:nvPicPr>
                        <pic:blipFill>
                          <a:blip r:embed="rId16"/>
                          <a:stretch>
                            <a:fillRect/>
                          </a:stretch>
                        </pic:blipFill>
                        <pic:spPr>
                          <a:xfrm>
                            <a:off x="0" y="0"/>
                            <a:ext cx="2258060" cy="1537970"/>
                          </a:xfrm>
                          <a:prstGeom prst="rect">
                            <a:avLst/>
                          </a:prstGeom>
                          <a:ln>
                            <a:solidFill>
                              <a:schemeClr val="tx1"/>
                            </a:solidFill>
                          </a:ln>
                        </pic:spPr>
                      </pic:pic>
                    </a:graphicData>
                  </a:graphic>
                </wp:inline>
              </w:drawing>
            </w:r>
          </w:p>
          <w:p w14:paraId="6A18E440">
            <w:pPr>
              <w:pStyle w:val="9"/>
              <w:keepNext w:val="0"/>
              <w:keepLines w:val="0"/>
              <w:pageBreakBefore w:val="0"/>
              <w:kinsoku/>
              <w:wordWrap/>
              <w:overflowPunct/>
              <w:topLinePunct w:val="0"/>
              <w:autoSpaceDE/>
              <w:autoSpaceDN/>
              <w:bidi w:val="0"/>
              <w:snapToGrid w:val="0"/>
              <w:spacing w:before="0" w:after="0" w:line="360" w:lineRule="auto"/>
              <w:ind w:right="0" w:firstLine="0" w:firstLineChars="0"/>
              <w:jc w:val="center"/>
              <w:textAlignment w:val="auto"/>
              <w:rPr>
                <w:rFonts w:eastAsia="黑体"/>
                <w:color w:val="auto"/>
                <w:spacing w:val="0"/>
                <w:position w:val="0"/>
                <w:sz w:val="21"/>
                <w:szCs w:val="21"/>
              </w:rPr>
            </w:pPr>
            <w:r>
              <w:rPr>
                <w:rFonts w:eastAsia="黑体"/>
                <w:color w:val="auto"/>
                <w:spacing w:val="0"/>
                <w:position w:val="0"/>
                <w:sz w:val="21"/>
                <w:szCs w:val="21"/>
              </w:rPr>
              <w:t>图</w:t>
            </w:r>
            <w:r>
              <w:rPr>
                <w:rFonts w:hint="eastAsia" w:eastAsia="黑体"/>
                <w:color w:val="auto"/>
                <w:spacing w:val="0"/>
                <w:position w:val="0"/>
                <w:sz w:val="21"/>
                <w:szCs w:val="21"/>
                <w:lang w:val="en-US" w:eastAsia="zh-CN"/>
              </w:rPr>
              <w:t>2-4</w:t>
            </w:r>
            <w:r>
              <w:rPr>
                <w:rFonts w:eastAsia="黑体"/>
                <w:color w:val="auto"/>
                <w:spacing w:val="0"/>
                <w:position w:val="0"/>
                <w:sz w:val="21"/>
                <w:szCs w:val="21"/>
              </w:rPr>
              <w:t xml:space="preserve"> </w:t>
            </w:r>
            <w:r>
              <w:rPr>
                <w:rFonts w:hint="eastAsia" w:eastAsia="黑体"/>
                <w:color w:val="auto"/>
                <w:spacing w:val="0"/>
                <w:position w:val="0"/>
                <w:sz w:val="21"/>
                <w:szCs w:val="21"/>
                <w:lang w:val="en-US" w:eastAsia="zh-CN"/>
              </w:rPr>
              <w:t xml:space="preserve">  </w:t>
            </w:r>
            <w:r>
              <w:rPr>
                <w:rFonts w:eastAsia="黑体"/>
                <w:color w:val="auto"/>
                <w:spacing w:val="0"/>
                <w:position w:val="0"/>
                <w:sz w:val="21"/>
                <w:szCs w:val="21"/>
              </w:rPr>
              <w:t xml:space="preserve"> </w:t>
            </w:r>
            <w:r>
              <w:rPr>
                <w:rFonts w:hint="eastAsia" w:eastAsia="黑体"/>
                <w:color w:val="auto"/>
                <w:spacing w:val="0"/>
                <w:position w:val="0"/>
                <w:sz w:val="21"/>
                <w:szCs w:val="21"/>
                <w:lang w:val="en-US" w:eastAsia="zh-CN"/>
              </w:rPr>
              <w:t>施工期</w:t>
            </w:r>
            <w:r>
              <w:rPr>
                <w:rFonts w:eastAsia="黑体"/>
                <w:color w:val="auto"/>
                <w:spacing w:val="0"/>
                <w:position w:val="0"/>
                <w:sz w:val="21"/>
                <w:szCs w:val="21"/>
              </w:rPr>
              <w:t>工艺流程</w:t>
            </w:r>
            <w:r>
              <w:rPr>
                <w:rFonts w:hint="eastAsia" w:eastAsia="黑体"/>
                <w:color w:val="auto"/>
                <w:spacing w:val="0"/>
                <w:position w:val="0"/>
                <w:sz w:val="21"/>
                <w:szCs w:val="21"/>
              </w:rPr>
              <w:t>图</w:t>
            </w:r>
          </w:p>
          <w:p w14:paraId="36B2B4F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color w:val="auto"/>
                <w:spacing w:val="0"/>
                <w:position w:val="0"/>
                <w:sz w:val="21"/>
                <w:szCs w:val="21"/>
              </w:rPr>
            </w:pPr>
            <w:r>
              <w:rPr>
                <w:b/>
                <w:bCs/>
                <w:color w:val="auto"/>
                <w:spacing w:val="0"/>
                <w:position w:val="0"/>
                <w:sz w:val="21"/>
                <w:szCs w:val="21"/>
              </w:rPr>
              <w:t>运营期</w:t>
            </w:r>
          </w:p>
          <w:p w14:paraId="5EF8E78E">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eastAsia" w:eastAsia="宋体"/>
                <w:b/>
                <w:bCs/>
                <w:color w:val="auto"/>
                <w:spacing w:val="0"/>
                <w:position w:val="0"/>
                <w:sz w:val="21"/>
                <w:szCs w:val="21"/>
                <w:lang w:val="en-US" w:eastAsia="zh-CN"/>
              </w:rPr>
            </w:pPr>
            <w:r>
              <w:rPr>
                <w:b/>
                <w:bCs/>
                <w:color w:val="auto"/>
                <w:spacing w:val="0"/>
                <w:position w:val="0"/>
                <w:sz w:val="21"/>
                <w:szCs w:val="21"/>
              </w:rPr>
              <w:t>1、生产线</w:t>
            </w:r>
            <w:r>
              <w:rPr>
                <w:rFonts w:hint="eastAsia"/>
                <w:b/>
                <w:bCs/>
                <w:color w:val="auto"/>
                <w:spacing w:val="0"/>
                <w:position w:val="0"/>
                <w:sz w:val="21"/>
                <w:szCs w:val="21"/>
                <w:lang w:val="en-US" w:eastAsia="zh-CN"/>
              </w:rPr>
              <w:t>工艺流程</w:t>
            </w:r>
          </w:p>
          <w:p w14:paraId="2FAD7545">
            <w:pPr>
              <w:keepNext w:val="0"/>
              <w:keepLines w:val="0"/>
              <w:pageBreakBefore w:val="0"/>
              <w:widowControl w:val="0"/>
              <w:kinsoku/>
              <w:wordWrap/>
              <w:overflowPunct/>
              <w:topLinePunct w:val="0"/>
              <w:autoSpaceDE/>
              <w:autoSpaceDN/>
              <w:bidi w:val="0"/>
              <w:spacing w:line="360" w:lineRule="auto"/>
              <w:ind w:firstLine="560"/>
              <w:textAlignment w:val="auto"/>
              <w:rPr>
                <w:color w:val="auto"/>
                <w:spacing w:val="0"/>
                <w:position w:val="0"/>
                <w:sz w:val="21"/>
                <w:szCs w:val="21"/>
              </w:rPr>
            </w:pPr>
            <w:r>
              <w:rPr>
                <w:rFonts w:hint="eastAsia" w:cs="宋体"/>
                <w:color w:val="auto"/>
                <w:spacing w:val="0"/>
                <w:position w:val="0"/>
                <w:sz w:val="21"/>
                <w:szCs w:val="21"/>
              </w:rPr>
              <w:t>（1）</w:t>
            </w:r>
            <w:r>
              <w:rPr>
                <w:rFonts w:hint="eastAsia" w:cs="宋体"/>
                <w:color w:val="auto"/>
                <w:spacing w:val="0"/>
                <w:position w:val="0"/>
                <w:sz w:val="21"/>
                <w:szCs w:val="21"/>
                <w:lang w:val="en-US" w:eastAsia="zh-CN"/>
              </w:rPr>
              <w:t>管件</w:t>
            </w:r>
            <w:r>
              <w:rPr>
                <w:rFonts w:hint="eastAsia" w:cs="宋体"/>
                <w:color w:val="auto"/>
                <w:spacing w:val="0"/>
                <w:position w:val="0"/>
                <w:sz w:val="21"/>
                <w:szCs w:val="21"/>
              </w:rPr>
              <w:t>生产线</w:t>
            </w:r>
          </w:p>
          <w:p w14:paraId="39068C70">
            <w:pPr>
              <w:keepNext w:val="0"/>
              <w:keepLines w:val="0"/>
              <w:pageBreakBefore w:val="0"/>
              <w:widowControl w:val="0"/>
              <w:kinsoku/>
              <w:wordWrap/>
              <w:overflowPunct/>
              <w:topLinePunct w:val="0"/>
              <w:autoSpaceDE/>
              <w:autoSpaceDN/>
              <w:bidi w:val="0"/>
              <w:spacing w:line="360" w:lineRule="auto"/>
              <w:ind w:firstLine="560"/>
              <w:textAlignment w:val="auto"/>
              <w:rPr>
                <w:rFonts w:hint="eastAsia"/>
                <w:color w:val="auto"/>
                <w:spacing w:val="0"/>
                <w:position w:val="0"/>
                <w:sz w:val="21"/>
                <w:szCs w:val="21"/>
              </w:rPr>
            </w:pPr>
            <w:r>
              <w:rPr>
                <w:rFonts w:hint="eastAsia" w:cs="宋体"/>
                <w:color w:val="auto"/>
                <w:spacing w:val="0"/>
                <w:position w:val="0"/>
                <w:sz w:val="21"/>
                <w:szCs w:val="21"/>
              </w:rPr>
              <w:t>本项目</w:t>
            </w:r>
            <w:r>
              <w:rPr>
                <w:rFonts w:hint="eastAsia" w:cs="宋体"/>
                <w:color w:val="auto"/>
                <w:spacing w:val="0"/>
                <w:position w:val="0"/>
                <w:sz w:val="21"/>
                <w:szCs w:val="21"/>
                <w:lang w:val="en-US" w:eastAsia="zh-CN"/>
              </w:rPr>
              <w:t>PVC、PP</w:t>
            </w:r>
            <w:r>
              <w:rPr>
                <w:rFonts w:hint="eastAsia" w:cs="宋体"/>
                <w:color w:val="auto"/>
                <w:spacing w:val="0"/>
                <w:position w:val="0"/>
                <w:sz w:val="21"/>
                <w:szCs w:val="21"/>
              </w:rPr>
              <w:t>原料由运输车辆直接拉运至</w:t>
            </w:r>
            <w:r>
              <w:rPr>
                <w:rFonts w:hint="eastAsia" w:cs="宋体"/>
                <w:color w:val="auto"/>
                <w:spacing w:val="0"/>
                <w:position w:val="0"/>
                <w:sz w:val="21"/>
                <w:szCs w:val="21"/>
                <w:lang w:val="en-US" w:eastAsia="zh-CN"/>
              </w:rPr>
              <w:t>厂区内的原料堆放库房</w:t>
            </w:r>
            <w:r>
              <w:rPr>
                <w:rFonts w:hint="eastAsia" w:cs="宋体"/>
                <w:color w:val="auto"/>
                <w:spacing w:val="0"/>
                <w:position w:val="0"/>
                <w:sz w:val="21"/>
                <w:szCs w:val="21"/>
              </w:rPr>
              <w:t>，</w:t>
            </w:r>
            <w:r>
              <w:rPr>
                <w:rFonts w:hint="eastAsia" w:cs="宋体"/>
                <w:color w:val="auto"/>
                <w:spacing w:val="0"/>
                <w:position w:val="0"/>
                <w:sz w:val="21"/>
                <w:szCs w:val="21"/>
                <w:lang w:val="en-US" w:eastAsia="zh-CN"/>
              </w:rPr>
              <w:t>原料均为新料。管件生产</w:t>
            </w:r>
            <w:r>
              <w:rPr>
                <w:rFonts w:hint="eastAsia"/>
                <w:color w:val="auto"/>
                <w:spacing w:val="0"/>
                <w:position w:val="0"/>
                <w:sz w:val="21"/>
                <w:szCs w:val="21"/>
              </w:rPr>
              <w:t>工艺流程及产污环节如下：</w:t>
            </w:r>
          </w:p>
          <w:p w14:paraId="39A6D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pacing w:val="0"/>
                <w:position w:val="0"/>
                <w:sz w:val="21"/>
                <w:szCs w:val="21"/>
                <w:lang w:eastAsia="zh-CN"/>
              </w:rPr>
            </w:pPr>
            <w:r>
              <w:rPr>
                <w:rFonts w:hint="eastAsia" w:eastAsia="宋体"/>
                <w:color w:val="auto"/>
                <w:spacing w:val="0"/>
                <w:position w:val="0"/>
                <w:sz w:val="21"/>
                <w:szCs w:val="21"/>
                <w:lang w:eastAsia="zh-CN"/>
              </w:rPr>
              <w:drawing>
                <wp:inline distT="0" distB="0" distL="114300" distR="114300">
                  <wp:extent cx="2574925" cy="2199005"/>
                  <wp:effectExtent l="9525" t="9525" r="25400" b="20320"/>
                  <wp:docPr id="7" name="ECB019B1-382A-4266-B25C-5B523AA43C14-3" descr="C:/Users/AAA/AppData/Local/Temp/wps.rOmuP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3" descr="C:/Users/AAA/AppData/Local/Temp/wps.rOmuPjwps"/>
                          <pic:cNvPicPr>
                            <a:picLocks noChangeAspect="1"/>
                          </pic:cNvPicPr>
                        </pic:nvPicPr>
                        <pic:blipFill>
                          <a:blip r:embed="rId17"/>
                          <a:stretch>
                            <a:fillRect/>
                          </a:stretch>
                        </pic:blipFill>
                        <pic:spPr>
                          <a:xfrm>
                            <a:off x="0" y="0"/>
                            <a:ext cx="2574925" cy="2199005"/>
                          </a:xfrm>
                          <a:prstGeom prst="rect">
                            <a:avLst/>
                          </a:prstGeom>
                          <a:ln>
                            <a:solidFill>
                              <a:schemeClr val="tx1"/>
                            </a:solidFill>
                          </a:ln>
                        </pic:spPr>
                      </pic:pic>
                    </a:graphicData>
                  </a:graphic>
                </wp:inline>
              </w:drawing>
            </w:r>
          </w:p>
          <w:p w14:paraId="0FBAFDA8">
            <w:pPr>
              <w:pStyle w:val="9"/>
              <w:spacing w:before="0" w:after="0" w:line="240" w:lineRule="auto"/>
              <w:ind w:firstLine="0" w:firstLineChars="0"/>
              <w:jc w:val="center"/>
              <w:rPr>
                <w:rFonts w:eastAsia="黑体"/>
                <w:color w:val="auto"/>
                <w:spacing w:val="0"/>
                <w:position w:val="0"/>
                <w:sz w:val="21"/>
                <w:szCs w:val="21"/>
              </w:rPr>
            </w:pPr>
            <w:r>
              <w:rPr>
                <w:rFonts w:eastAsia="黑体"/>
                <w:color w:val="auto"/>
                <w:spacing w:val="0"/>
                <w:position w:val="0"/>
                <w:sz w:val="21"/>
                <w:szCs w:val="21"/>
              </w:rPr>
              <w:t>图</w:t>
            </w:r>
            <w:r>
              <w:rPr>
                <w:rFonts w:hint="eastAsia" w:eastAsia="黑体"/>
                <w:color w:val="auto"/>
                <w:spacing w:val="0"/>
                <w:position w:val="0"/>
                <w:sz w:val="21"/>
                <w:szCs w:val="21"/>
              </w:rPr>
              <w:t>2</w:t>
            </w:r>
            <w:r>
              <w:rPr>
                <w:rFonts w:hint="eastAsia" w:eastAsia="黑体"/>
                <w:color w:val="auto"/>
                <w:spacing w:val="0"/>
                <w:position w:val="0"/>
                <w:sz w:val="21"/>
                <w:szCs w:val="21"/>
                <w:lang w:val="en-US" w:eastAsia="zh-CN"/>
              </w:rPr>
              <w:t>-5</w:t>
            </w:r>
            <w:r>
              <w:rPr>
                <w:rFonts w:eastAsia="黑体"/>
                <w:color w:val="auto"/>
                <w:spacing w:val="0"/>
                <w:position w:val="0"/>
                <w:sz w:val="21"/>
                <w:szCs w:val="21"/>
              </w:rPr>
              <w:t xml:space="preserve">  </w:t>
            </w:r>
            <w:r>
              <w:rPr>
                <w:rFonts w:hint="eastAsia" w:eastAsia="黑体"/>
                <w:color w:val="auto"/>
                <w:spacing w:val="0"/>
                <w:position w:val="0"/>
                <w:sz w:val="21"/>
                <w:szCs w:val="21"/>
                <w:lang w:val="en-US" w:eastAsia="zh-CN"/>
              </w:rPr>
              <w:t>管件生产</w:t>
            </w:r>
            <w:r>
              <w:rPr>
                <w:rFonts w:eastAsia="黑体"/>
                <w:color w:val="auto"/>
                <w:spacing w:val="0"/>
                <w:position w:val="0"/>
                <w:sz w:val="21"/>
                <w:szCs w:val="21"/>
              </w:rPr>
              <w:t>工艺流程</w:t>
            </w:r>
            <w:r>
              <w:rPr>
                <w:rFonts w:hint="eastAsia" w:eastAsia="黑体"/>
                <w:color w:val="auto"/>
                <w:spacing w:val="0"/>
                <w:position w:val="0"/>
                <w:sz w:val="21"/>
                <w:szCs w:val="21"/>
              </w:rPr>
              <w:t>图</w:t>
            </w:r>
          </w:p>
          <w:p w14:paraId="3C6036FC">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bCs/>
                <w:color w:val="auto"/>
                <w:spacing w:val="0"/>
                <w:position w:val="0"/>
                <w:sz w:val="21"/>
                <w:szCs w:val="21"/>
              </w:rPr>
            </w:pPr>
            <w:r>
              <w:rPr>
                <w:b/>
                <w:bCs/>
                <w:color w:val="auto"/>
                <w:spacing w:val="0"/>
                <w:position w:val="0"/>
                <w:sz w:val="21"/>
                <w:szCs w:val="21"/>
              </w:rPr>
              <w:t>工艺流程说明</w:t>
            </w:r>
          </w:p>
          <w:p w14:paraId="35F3633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cs="宋体"/>
                <w:color w:val="auto"/>
                <w:spacing w:val="0"/>
                <w:position w:val="0"/>
                <w:sz w:val="21"/>
                <w:szCs w:val="21"/>
              </w:rPr>
            </w:pPr>
            <w:r>
              <w:rPr>
                <w:rFonts w:cs="宋体"/>
                <w:color w:val="auto"/>
                <w:spacing w:val="0"/>
                <w:position w:val="0"/>
                <w:sz w:val="21"/>
                <w:szCs w:val="21"/>
              </w:rPr>
              <w:t>1</w:t>
            </w:r>
            <w:r>
              <w:rPr>
                <w:rFonts w:hint="eastAsia" w:cs="宋体"/>
                <w:color w:val="auto"/>
                <w:spacing w:val="0"/>
                <w:position w:val="0"/>
                <w:sz w:val="21"/>
                <w:szCs w:val="21"/>
              </w:rPr>
              <w:t>）</w:t>
            </w:r>
            <w:r>
              <w:rPr>
                <w:rFonts w:hint="eastAsia" w:cs="宋体"/>
                <w:color w:val="auto"/>
                <w:spacing w:val="0"/>
                <w:position w:val="0"/>
                <w:sz w:val="21"/>
                <w:szCs w:val="21"/>
                <w:lang w:val="en-US" w:eastAsia="zh-CN"/>
              </w:rPr>
              <w:t>混料</w:t>
            </w:r>
            <w:r>
              <w:rPr>
                <w:rFonts w:hint="eastAsia" w:cs="宋体"/>
                <w:color w:val="auto"/>
                <w:spacing w:val="0"/>
                <w:position w:val="0"/>
                <w:sz w:val="21"/>
                <w:szCs w:val="21"/>
              </w:rPr>
              <w:t>：</w:t>
            </w:r>
            <w:r>
              <w:rPr>
                <w:rFonts w:hint="eastAsia" w:cs="宋体"/>
                <w:color w:val="auto"/>
                <w:spacing w:val="0"/>
                <w:position w:val="0"/>
                <w:sz w:val="21"/>
                <w:szCs w:val="21"/>
                <w:lang w:val="en-US" w:eastAsia="zh-CN"/>
              </w:rPr>
              <w:t>本项目所用原料皆为新料需要混料，混料机混料过程产生粉尘G</w:t>
            </w:r>
            <w:r>
              <w:rPr>
                <w:rFonts w:hint="eastAsia" w:cs="宋体"/>
                <w:color w:val="auto"/>
                <w:spacing w:val="0"/>
                <w:position w:val="0"/>
                <w:sz w:val="21"/>
                <w:szCs w:val="21"/>
                <w:vertAlign w:val="subscript"/>
                <w:lang w:val="en-US" w:eastAsia="zh-CN"/>
              </w:rPr>
              <w:t>1</w:t>
            </w:r>
            <w:r>
              <w:rPr>
                <w:rFonts w:hint="eastAsia" w:cs="宋体"/>
                <w:color w:val="auto"/>
                <w:spacing w:val="0"/>
                <w:position w:val="0"/>
                <w:sz w:val="21"/>
                <w:szCs w:val="21"/>
                <w:lang w:val="en-US" w:eastAsia="zh-CN"/>
              </w:rPr>
              <w:t>、废包装袋和废布袋S</w:t>
            </w:r>
            <w:r>
              <w:rPr>
                <w:rFonts w:hint="eastAsia" w:cs="宋体"/>
                <w:color w:val="auto"/>
                <w:spacing w:val="0"/>
                <w:position w:val="0"/>
                <w:sz w:val="21"/>
                <w:szCs w:val="21"/>
                <w:vertAlign w:val="subscript"/>
                <w:lang w:val="en-US" w:eastAsia="zh-CN"/>
              </w:rPr>
              <w:t>1</w:t>
            </w:r>
            <w:r>
              <w:rPr>
                <w:rFonts w:hint="eastAsia" w:cs="宋体"/>
                <w:color w:val="auto"/>
                <w:spacing w:val="0"/>
                <w:position w:val="0"/>
                <w:sz w:val="21"/>
                <w:szCs w:val="21"/>
                <w:lang w:val="en-US" w:eastAsia="zh-CN"/>
              </w:rPr>
              <w:t>及噪声N</w:t>
            </w:r>
            <w:r>
              <w:rPr>
                <w:rFonts w:hint="eastAsia" w:cs="宋体"/>
                <w:color w:val="auto"/>
                <w:spacing w:val="0"/>
                <w:position w:val="0"/>
                <w:sz w:val="21"/>
                <w:szCs w:val="21"/>
                <w:vertAlign w:val="subscript"/>
                <w:lang w:val="en-US" w:eastAsia="zh-CN"/>
              </w:rPr>
              <w:t>1</w:t>
            </w:r>
            <w:r>
              <w:rPr>
                <w:rFonts w:hint="eastAsia" w:cs="宋体"/>
                <w:color w:val="auto"/>
                <w:spacing w:val="0"/>
                <w:position w:val="0"/>
                <w:sz w:val="21"/>
                <w:szCs w:val="21"/>
              </w:rPr>
              <w:t>。</w:t>
            </w:r>
          </w:p>
          <w:p w14:paraId="6E8542C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default" w:eastAsia="宋体" w:cs="宋体"/>
                <w:color w:val="auto"/>
                <w:spacing w:val="0"/>
                <w:position w:val="0"/>
                <w:sz w:val="21"/>
                <w:szCs w:val="21"/>
                <w:lang w:val="en-US" w:eastAsia="zh-CN"/>
              </w:rPr>
            </w:pPr>
            <w:r>
              <w:rPr>
                <w:rFonts w:cs="宋体"/>
                <w:color w:val="auto"/>
                <w:spacing w:val="0"/>
                <w:position w:val="0"/>
                <w:sz w:val="21"/>
                <w:szCs w:val="21"/>
              </w:rPr>
              <w:t>2</w:t>
            </w:r>
            <w:r>
              <w:rPr>
                <w:rFonts w:hint="eastAsia" w:cs="宋体"/>
                <w:color w:val="auto"/>
                <w:spacing w:val="0"/>
                <w:position w:val="0"/>
                <w:sz w:val="21"/>
                <w:szCs w:val="21"/>
              </w:rPr>
              <w:t>）</w:t>
            </w:r>
            <w:r>
              <w:rPr>
                <w:rFonts w:hint="eastAsia" w:cs="宋体"/>
                <w:color w:val="auto"/>
                <w:spacing w:val="0"/>
                <w:position w:val="0"/>
                <w:sz w:val="21"/>
                <w:szCs w:val="21"/>
                <w:lang w:val="en-US" w:eastAsia="zh-CN"/>
              </w:rPr>
              <w:t>人工上料：均匀混合后的物料由人工上料至加热挤出机，过程中不会产生粉尘或有机气体。</w:t>
            </w:r>
          </w:p>
          <w:p w14:paraId="375F26D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lang w:val="en-US" w:eastAsia="zh-CN"/>
              </w:rPr>
            </w:pPr>
            <w:r>
              <w:rPr>
                <w:rFonts w:hint="eastAsia" w:cs="宋体"/>
                <w:color w:val="auto"/>
                <w:spacing w:val="0"/>
                <w:position w:val="0"/>
                <w:sz w:val="21"/>
                <w:szCs w:val="21"/>
                <w:lang w:val="en-US" w:eastAsia="zh-CN"/>
              </w:rPr>
              <w:t>3</w:t>
            </w:r>
            <w:r>
              <w:rPr>
                <w:rFonts w:hint="eastAsia" w:cs="宋体"/>
                <w:color w:val="auto"/>
                <w:spacing w:val="0"/>
                <w:position w:val="0"/>
                <w:sz w:val="21"/>
                <w:szCs w:val="21"/>
              </w:rPr>
              <w:t>）</w:t>
            </w:r>
            <w:r>
              <w:rPr>
                <w:rFonts w:hint="eastAsia" w:cs="宋体"/>
                <w:color w:val="auto"/>
                <w:spacing w:val="0"/>
                <w:position w:val="0"/>
                <w:sz w:val="21"/>
                <w:szCs w:val="21"/>
                <w:lang w:val="en-US" w:eastAsia="zh-CN"/>
              </w:rPr>
              <w:t>加热挤出</w:t>
            </w:r>
            <w:r>
              <w:rPr>
                <w:rFonts w:hint="eastAsia" w:cs="宋体"/>
                <w:color w:val="auto"/>
                <w:spacing w:val="0"/>
                <w:position w:val="0"/>
                <w:sz w:val="21"/>
                <w:szCs w:val="21"/>
              </w:rPr>
              <w:t>：</w:t>
            </w:r>
            <w:r>
              <w:rPr>
                <w:rFonts w:hint="eastAsia" w:cs="宋体"/>
                <w:color w:val="auto"/>
                <w:spacing w:val="0"/>
                <w:position w:val="0"/>
                <w:sz w:val="21"/>
                <w:szCs w:val="21"/>
                <w:lang w:val="en-US" w:eastAsia="zh-CN"/>
              </w:rPr>
              <w:t>根据工艺参数要求，设定挤出温度，当挤出机各区温度达到设定值后，搅拌均匀的混合料通过储料分料斗将原辅料输入至挤出机，挤出机采用电加热。加热后的原料熔化后通过挤出机挤出成形。原料熔化为浆状，但未达塑料粒子的裂解温度，成分基本不发生变化，但在高温下有轻微裂解后产生有机废气G</w:t>
            </w:r>
            <w:r>
              <w:rPr>
                <w:rFonts w:hint="eastAsia" w:cs="宋体"/>
                <w:color w:val="auto"/>
                <w:spacing w:val="0"/>
                <w:position w:val="0"/>
                <w:sz w:val="21"/>
                <w:szCs w:val="21"/>
                <w:vertAlign w:val="subscript"/>
                <w:lang w:val="en-US" w:eastAsia="zh-CN"/>
              </w:rPr>
              <w:t>2</w:t>
            </w:r>
            <w:r>
              <w:rPr>
                <w:rFonts w:hint="eastAsia" w:cs="宋体"/>
                <w:color w:val="auto"/>
                <w:spacing w:val="0"/>
                <w:position w:val="0"/>
                <w:sz w:val="21"/>
                <w:szCs w:val="21"/>
                <w:lang w:val="en-US" w:eastAsia="zh-CN"/>
              </w:rPr>
              <w:t>。</w:t>
            </w:r>
          </w:p>
          <w:p w14:paraId="75BD1C0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cs="宋体"/>
                <w:color w:val="auto"/>
                <w:spacing w:val="0"/>
                <w:position w:val="0"/>
                <w:sz w:val="21"/>
                <w:szCs w:val="21"/>
              </w:rPr>
            </w:pPr>
            <w:r>
              <w:rPr>
                <w:rFonts w:hint="eastAsia" w:cs="宋体"/>
                <w:color w:val="auto"/>
                <w:spacing w:val="0"/>
                <w:position w:val="0"/>
                <w:sz w:val="21"/>
                <w:szCs w:val="21"/>
                <w:lang w:val="en-US" w:eastAsia="zh-CN"/>
              </w:rPr>
              <w:t>4</w:t>
            </w:r>
            <w:r>
              <w:rPr>
                <w:rFonts w:hint="eastAsia" w:cs="宋体"/>
                <w:color w:val="auto"/>
                <w:spacing w:val="0"/>
                <w:position w:val="0"/>
                <w:sz w:val="21"/>
                <w:szCs w:val="21"/>
              </w:rPr>
              <w:t>）</w:t>
            </w:r>
            <w:r>
              <w:rPr>
                <w:rFonts w:hint="eastAsia" w:cs="宋体"/>
                <w:color w:val="auto"/>
                <w:spacing w:val="0"/>
                <w:position w:val="0"/>
                <w:sz w:val="21"/>
                <w:szCs w:val="21"/>
                <w:lang w:val="en-US" w:eastAsia="zh-CN"/>
              </w:rPr>
              <w:t>冷却模具定型</w:t>
            </w:r>
            <w:r>
              <w:rPr>
                <w:rFonts w:hint="eastAsia" w:cs="宋体"/>
                <w:color w:val="auto"/>
                <w:spacing w:val="0"/>
                <w:position w:val="0"/>
                <w:sz w:val="21"/>
                <w:szCs w:val="21"/>
              </w:rPr>
              <w:t>：</w:t>
            </w:r>
            <w:r>
              <w:rPr>
                <w:rFonts w:hint="eastAsia" w:cs="宋体"/>
                <w:color w:val="auto"/>
                <w:spacing w:val="0"/>
                <w:position w:val="0"/>
                <w:sz w:val="21"/>
                <w:szCs w:val="21"/>
                <w:lang w:val="en-US" w:eastAsia="zh-CN"/>
              </w:rPr>
              <w:t>挤出的产品在模具中形成管件，在生产设备中间接冷却，外设循环冷却水，冷却水不直接接触产品，冷却水可循环使用。</w:t>
            </w:r>
          </w:p>
          <w:p w14:paraId="2E368D8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cs="宋体"/>
                <w:color w:val="auto"/>
                <w:spacing w:val="0"/>
                <w:position w:val="0"/>
                <w:sz w:val="21"/>
                <w:szCs w:val="21"/>
              </w:rPr>
            </w:pPr>
            <w:r>
              <w:rPr>
                <w:rFonts w:hint="eastAsia" w:cs="宋体"/>
                <w:color w:val="auto"/>
                <w:spacing w:val="0"/>
                <w:position w:val="0"/>
                <w:sz w:val="21"/>
                <w:szCs w:val="21"/>
                <w:lang w:val="en-US" w:eastAsia="zh-CN"/>
              </w:rPr>
              <w:t>5</w:t>
            </w:r>
            <w:r>
              <w:rPr>
                <w:rFonts w:hint="eastAsia" w:cs="宋体"/>
                <w:color w:val="auto"/>
                <w:spacing w:val="0"/>
                <w:position w:val="0"/>
                <w:sz w:val="21"/>
                <w:szCs w:val="21"/>
              </w:rPr>
              <w:t>）</w:t>
            </w:r>
            <w:r>
              <w:rPr>
                <w:rFonts w:hint="eastAsia" w:cs="宋体"/>
                <w:color w:val="auto"/>
                <w:spacing w:val="0"/>
                <w:position w:val="0"/>
                <w:sz w:val="21"/>
                <w:szCs w:val="21"/>
                <w:lang w:val="en-US" w:eastAsia="zh-CN"/>
              </w:rPr>
              <w:t>脱模检验</w:t>
            </w:r>
            <w:r>
              <w:rPr>
                <w:rFonts w:hint="eastAsia" w:cs="宋体"/>
                <w:color w:val="auto"/>
                <w:spacing w:val="0"/>
                <w:position w:val="0"/>
                <w:sz w:val="21"/>
                <w:szCs w:val="21"/>
              </w:rPr>
              <w:t>：</w:t>
            </w:r>
            <w:r>
              <w:rPr>
                <w:rFonts w:hint="eastAsia" w:cs="宋体"/>
                <w:color w:val="auto"/>
                <w:spacing w:val="0"/>
                <w:position w:val="0"/>
                <w:sz w:val="21"/>
                <w:szCs w:val="21"/>
                <w:lang w:val="en-US" w:eastAsia="zh-CN"/>
              </w:rPr>
              <w:t>脱模的产品由员工根据相关标准对生产塑料管件进行检验，不合格管件</w:t>
            </w:r>
            <w:r>
              <w:rPr>
                <w:rFonts w:hint="default" w:cs="宋体"/>
                <w:color w:val="auto"/>
                <w:spacing w:val="0"/>
                <w:position w:val="0"/>
                <w:sz w:val="21"/>
                <w:szCs w:val="21"/>
                <w:lang w:val="en-US" w:eastAsia="zh-CN"/>
              </w:rPr>
              <w:t>S</w:t>
            </w:r>
            <w:r>
              <w:rPr>
                <w:rFonts w:hint="eastAsia" w:cs="宋体"/>
                <w:color w:val="auto"/>
                <w:spacing w:val="0"/>
                <w:position w:val="0"/>
                <w:sz w:val="21"/>
                <w:szCs w:val="21"/>
                <w:vertAlign w:val="subscript"/>
                <w:lang w:val="en-US" w:eastAsia="zh-CN"/>
              </w:rPr>
              <w:t>2</w:t>
            </w:r>
            <w:r>
              <w:rPr>
                <w:rFonts w:hint="eastAsia" w:cs="宋体"/>
                <w:color w:val="auto"/>
                <w:spacing w:val="0"/>
                <w:position w:val="0"/>
                <w:sz w:val="21"/>
                <w:szCs w:val="21"/>
                <w:lang w:val="en-US" w:eastAsia="zh-CN"/>
              </w:rPr>
              <w:t>由破碎机处理</w:t>
            </w:r>
            <w:r>
              <w:rPr>
                <w:rFonts w:hint="eastAsia" w:cs="宋体"/>
                <w:color w:val="auto"/>
                <w:spacing w:val="0"/>
                <w:position w:val="0"/>
                <w:sz w:val="21"/>
                <w:szCs w:val="21"/>
              </w:rPr>
              <w:t>。</w:t>
            </w:r>
          </w:p>
          <w:p w14:paraId="788921A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bCs/>
                <w:color w:val="auto"/>
                <w:spacing w:val="0"/>
                <w:position w:val="0"/>
                <w:sz w:val="21"/>
                <w:szCs w:val="21"/>
              </w:rPr>
            </w:pPr>
            <w:r>
              <w:rPr>
                <w:rFonts w:hint="eastAsia" w:cs="宋体"/>
                <w:color w:val="auto"/>
                <w:spacing w:val="0"/>
                <w:position w:val="0"/>
                <w:sz w:val="21"/>
                <w:szCs w:val="21"/>
                <w:lang w:val="en-US" w:eastAsia="zh-CN"/>
              </w:rPr>
              <w:t>6</w:t>
            </w:r>
            <w:r>
              <w:rPr>
                <w:rFonts w:hint="eastAsia" w:cs="宋体"/>
                <w:color w:val="auto"/>
                <w:spacing w:val="0"/>
                <w:position w:val="0"/>
                <w:sz w:val="21"/>
                <w:szCs w:val="21"/>
              </w:rPr>
              <w:t>）</w:t>
            </w:r>
            <w:r>
              <w:rPr>
                <w:rFonts w:hint="eastAsia" w:cs="宋体"/>
                <w:color w:val="auto"/>
                <w:spacing w:val="0"/>
                <w:position w:val="0"/>
                <w:sz w:val="21"/>
                <w:szCs w:val="21"/>
                <w:lang w:val="en-US" w:eastAsia="zh-CN"/>
              </w:rPr>
              <w:t>不合格产品破碎</w:t>
            </w:r>
            <w:r>
              <w:rPr>
                <w:rFonts w:hint="eastAsia" w:cs="宋体"/>
                <w:color w:val="auto"/>
                <w:spacing w:val="0"/>
                <w:position w:val="0"/>
                <w:sz w:val="21"/>
                <w:szCs w:val="21"/>
              </w:rPr>
              <w:t>：</w:t>
            </w:r>
            <w:r>
              <w:rPr>
                <w:rFonts w:hint="eastAsia" w:cs="宋体"/>
                <w:color w:val="auto"/>
                <w:spacing w:val="0"/>
                <w:position w:val="0"/>
                <w:sz w:val="21"/>
                <w:szCs w:val="21"/>
                <w:lang w:val="en-US" w:eastAsia="zh-CN"/>
              </w:rPr>
              <w:t>检验后的不合格产品送至破碎机破碎为原料重新回用于生产线，此过程产生粉尘G</w:t>
            </w:r>
            <w:r>
              <w:rPr>
                <w:rFonts w:hint="eastAsia" w:cs="宋体"/>
                <w:color w:val="auto"/>
                <w:spacing w:val="0"/>
                <w:position w:val="0"/>
                <w:sz w:val="21"/>
                <w:szCs w:val="21"/>
                <w:vertAlign w:val="subscript"/>
                <w:lang w:val="en-US" w:eastAsia="zh-CN"/>
              </w:rPr>
              <w:t>3</w:t>
            </w:r>
            <w:r>
              <w:rPr>
                <w:rFonts w:hint="eastAsia" w:cs="宋体"/>
                <w:color w:val="auto"/>
                <w:spacing w:val="0"/>
                <w:position w:val="0"/>
                <w:sz w:val="21"/>
                <w:szCs w:val="21"/>
              </w:rPr>
              <w:t>。</w:t>
            </w:r>
          </w:p>
          <w:p w14:paraId="43DCE271">
            <w:pPr>
              <w:keepNext w:val="0"/>
              <w:keepLines w:val="0"/>
              <w:pageBreakBefore w:val="0"/>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rPr>
            </w:pPr>
            <w:r>
              <w:rPr>
                <w:rFonts w:hint="eastAsia" w:cs="宋体"/>
                <w:color w:val="auto"/>
                <w:spacing w:val="0"/>
                <w:position w:val="0"/>
                <w:sz w:val="21"/>
                <w:szCs w:val="21"/>
                <w:lang w:val="en-US" w:eastAsia="zh-CN"/>
              </w:rPr>
              <w:t>7</w:t>
            </w:r>
            <w:r>
              <w:rPr>
                <w:rFonts w:hint="eastAsia" w:cs="宋体"/>
                <w:color w:val="auto"/>
                <w:spacing w:val="0"/>
                <w:position w:val="0"/>
                <w:sz w:val="21"/>
                <w:szCs w:val="21"/>
              </w:rPr>
              <w:t>）</w:t>
            </w:r>
            <w:r>
              <w:rPr>
                <w:rFonts w:hint="eastAsia" w:cs="宋体"/>
                <w:color w:val="auto"/>
                <w:spacing w:val="0"/>
                <w:position w:val="0"/>
                <w:sz w:val="21"/>
                <w:szCs w:val="21"/>
                <w:lang w:val="en-US" w:eastAsia="zh-CN"/>
              </w:rPr>
              <w:t>包装储存</w:t>
            </w:r>
            <w:r>
              <w:rPr>
                <w:rFonts w:hint="eastAsia" w:cs="宋体"/>
                <w:color w:val="auto"/>
                <w:spacing w:val="0"/>
                <w:position w:val="0"/>
                <w:sz w:val="21"/>
                <w:szCs w:val="21"/>
              </w:rPr>
              <w:t>：</w:t>
            </w:r>
            <w:r>
              <w:rPr>
                <w:rFonts w:hint="eastAsia" w:cs="宋体"/>
                <w:color w:val="auto"/>
                <w:spacing w:val="0"/>
                <w:position w:val="0"/>
                <w:sz w:val="21"/>
                <w:szCs w:val="21"/>
                <w:lang w:val="en-US" w:eastAsia="zh-CN"/>
              </w:rPr>
              <w:t>检验的合格品直接打包存放于厂区的成品堆场</w:t>
            </w:r>
            <w:r>
              <w:rPr>
                <w:rFonts w:hint="eastAsia" w:cs="宋体"/>
                <w:color w:val="auto"/>
                <w:spacing w:val="0"/>
                <w:position w:val="0"/>
                <w:sz w:val="21"/>
                <w:szCs w:val="21"/>
              </w:rPr>
              <w:t>。</w:t>
            </w:r>
          </w:p>
          <w:p w14:paraId="7A0627C2">
            <w:pPr>
              <w:keepNext w:val="0"/>
              <w:keepLines w:val="0"/>
              <w:pageBreakBefore w:val="0"/>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lang w:val="en-US" w:eastAsia="zh-CN"/>
              </w:rPr>
            </w:pPr>
            <w:r>
              <w:rPr>
                <w:rFonts w:hint="eastAsia" w:cs="宋体"/>
                <w:color w:val="auto"/>
                <w:spacing w:val="0"/>
                <w:position w:val="0"/>
                <w:sz w:val="21"/>
                <w:szCs w:val="21"/>
                <w:lang w:val="en-US" w:eastAsia="zh-CN"/>
              </w:rPr>
              <w:t>8</w:t>
            </w:r>
            <w:r>
              <w:rPr>
                <w:rFonts w:hint="eastAsia" w:cs="宋体"/>
                <w:color w:val="auto"/>
                <w:spacing w:val="0"/>
                <w:position w:val="0"/>
                <w:sz w:val="21"/>
                <w:szCs w:val="21"/>
              </w:rPr>
              <w:t>）</w:t>
            </w:r>
            <w:r>
              <w:rPr>
                <w:rFonts w:hint="eastAsia" w:cs="宋体"/>
                <w:color w:val="auto"/>
                <w:spacing w:val="0"/>
                <w:position w:val="0"/>
                <w:sz w:val="21"/>
                <w:szCs w:val="21"/>
                <w:lang w:val="en-US" w:eastAsia="zh-CN"/>
              </w:rPr>
              <w:t>外售：合格产品打包存放于成品堆场，由汽车拉运外售。</w:t>
            </w:r>
          </w:p>
          <w:p w14:paraId="0C0B104A">
            <w:pPr>
              <w:keepNext w:val="0"/>
              <w:keepLines w:val="0"/>
              <w:pageBreakBefore w:val="0"/>
              <w:widowControl w:val="0"/>
              <w:kinsoku/>
              <w:wordWrap/>
              <w:overflowPunct/>
              <w:topLinePunct w:val="0"/>
              <w:autoSpaceDE/>
              <w:autoSpaceDN/>
              <w:bidi w:val="0"/>
              <w:spacing w:line="360" w:lineRule="auto"/>
              <w:ind w:firstLine="560"/>
              <w:textAlignment w:val="auto"/>
              <w:rPr>
                <w:rFonts w:hint="eastAsia" w:cs="宋体"/>
                <w:color w:val="auto"/>
                <w:spacing w:val="0"/>
                <w:position w:val="0"/>
                <w:sz w:val="21"/>
                <w:szCs w:val="21"/>
              </w:rPr>
            </w:pPr>
            <w:r>
              <w:rPr>
                <w:rFonts w:hint="eastAsia" w:cs="宋体"/>
                <w:color w:val="auto"/>
                <w:spacing w:val="0"/>
                <w:position w:val="0"/>
                <w:sz w:val="21"/>
                <w:szCs w:val="21"/>
              </w:rPr>
              <w:t>（</w:t>
            </w:r>
            <w:r>
              <w:rPr>
                <w:rFonts w:hint="eastAsia" w:cs="宋体"/>
                <w:color w:val="auto"/>
                <w:spacing w:val="0"/>
                <w:position w:val="0"/>
                <w:sz w:val="21"/>
                <w:szCs w:val="21"/>
                <w:lang w:val="en-US" w:eastAsia="zh-CN"/>
              </w:rPr>
              <w:t>2</w:t>
            </w:r>
            <w:r>
              <w:rPr>
                <w:rFonts w:hint="eastAsia" w:cs="宋体"/>
                <w:color w:val="auto"/>
                <w:spacing w:val="0"/>
                <w:position w:val="0"/>
                <w:sz w:val="21"/>
                <w:szCs w:val="21"/>
              </w:rPr>
              <w:t>）</w:t>
            </w:r>
            <w:r>
              <w:rPr>
                <w:rFonts w:hint="eastAsia" w:cs="宋体"/>
                <w:color w:val="auto"/>
                <w:spacing w:val="0"/>
                <w:position w:val="0"/>
                <w:sz w:val="21"/>
                <w:szCs w:val="21"/>
                <w:lang w:val="en-US" w:eastAsia="zh-CN"/>
              </w:rPr>
              <w:t>打包带</w:t>
            </w:r>
            <w:r>
              <w:rPr>
                <w:rFonts w:hint="eastAsia" w:cs="宋体"/>
                <w:color w:val="auto"/>
                <w:spacing w:val="0"/>
                <w:position w:val="0"/>
                <w:sz w:val="21"/>
                <w:szCs w:val="21"/>
              </w:rPr>
              <w:t>生产线</w:t>
            </w:r>
          </w:p>
          <w:p w14:paraId="6AA12F2F">
            <w:pPr>
              <w:keepNext w:val="0"/>
              <w:keepLines w:val="0"/>
              <w:pageBreakBefore w:val="0"/>
              <w:widowControl w:val="0"/>
              <w:kinsoku/>
              <w:wordWrap/>
              <w:overflowPunct/>
              <w:topLinePunct w:val="0"/>
              <w:autoSpaceDE/>
              <w:autoSpaceDN/>
              <w:bidi w:val="0"/>
              <w:spacing w:line="360" w:lineRule="auto"/>
              <w:ind w:firstLine="560"/>
              <w:textAlignment w:val="auto"/>
              <w:rPr>
                <w:rFonts w:hint="eastAsia"/>
                <w:color w:val="auto"/>
                <w:spacing w:val="0"/>
                <w:position w:val="0"/>
                <w:sz w:val="21"/>
                <w:szCs w:val="21"/>
              </w:rPr>
            </w:pPr>
            <w:r>
              <w:rPr>
                <w:rFonts w:hint="eastAsia" w:cs="宋体"/>
                <w:color w:val="auto"/>
                <w:spacing w:val="0"/>
                <w:position w:val="0"/>
                <w:sz w:val="21"/>
                <w:szCs w:val="21"/>
              </w:rPr>
              <w:t>本项目</w:t>
            </w:r>
            <w:r>
              <w:rPr>
                <w:rFonts w:hint="eastAsia" w:cs="宋体"/>
                <w:color w:val="auto"/>
                <w:spacing w:val="0"/>
                <w:position w:val="0"/>
                <w:sz w:val="21"/>
                <w:szCs w:val="21"/>
                <w:lang w:val="en-US" w:eastAsia="zh-CN"/>
              </w:rPr>
              <w:t>PE</w:t>
            </w:r>
            <w:r>
              <w:rPr>
                <w:rFonts w:hint="eastAsia" w:cs="宋体"/>
                <w:color w:val="auto"/>
                <w:spacing w:val="0"/>
                <w:position w:val="0"/>
                <w:sz w:val="21"/>
                <w:szCs w:val="21"/>
              </w:rPr>
              <w:t>原料由运输车辆直接拉运至</w:t>
            </w:r>
            <w:r>
              <w:rPr>
                <w:rFonts w:hint="eastAsia" w:cs="宋体"/>
                <w:color w:val="auto"/>
                <w:spacing w:val="0"/>
                <w:position w:val="0"/>
                <w:sz w:val="21"/>
                <w:szCs w:val="21"/>
                <w:lang w:val="en-US" w:eastAsia="zh-CN"/>
              </w:rPr>
              <w:t>厂区内的原料堆放库房</w:t>
            </w:r>
            <w:r>
              <w:rPr>
                <w:rFonts w:hint="eastAsia" w:cs="宋体"/>
                <w:color w:val="auto"/>
                <w:spacing w:val="0"/>
                <w:position w:val="0"/>
                <w:sz w:val="21"/>
                <w:szCs w:val="21"/>
              </w:rPr>
              <w:t>，</w:t>
            </w:r>
            <w:r>
              <w:rPr>
                <w:rFonts w:hint="eastAsia" w:cs="宋体"/>
                <w:color w:val="auto"/>
                <w:spacing w:val="0"/>
                <w:position w:val="0"/>
                <w:sz w:val="21"/>
                <w:szCs w:val="21"/>
                <w:lang w:val="en-US" w:eastAsia="zh-CN"/>
              </w:rPr>
              <w:t>原料均为新料。打包带生产</w:t>
            </w:r>
            <w:r>
              <w:rPr>
                <w:rFonts w:hint="eastAsia"/>
                <w:color w:val="auto"/>
                <w:spacing w:val="0"/>
                <w:position w:val="0"/>
                <w:sz w:val="21"/>
                <w:szCs w:val="21"/>
              </w:rPr>
              <w:t>工艺流程及产污环节如下：</w:t>
            </w:r>
          </w:p>
          <w:p w14:paraId="3F321A8C">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eastAsia="黑体"/>
                <w:lang w:eastAsia="zh-CN"/>
              </w:rPr>
            </w:pPr>
            <w:r>
              <w:rPr>
                <w:rFonts w:hint="eastAsia" w:eastAsia="黑体"/>
                <w:lang w:eastAsia="zh-CN"/>
              </w:rPr>
              <w:drawing>
                <wp:inline distT="0" distB="0" distL="114300" distR="114300">
                  <wp:extent cx="3051175" cy="2338070"/>
                  <wp:effectExtent l="9525" t="9525" r="25400" b="14605"/>
                  <wp:docPr id="5" name="ECB019B1-382A-4266-B25C-5B523AA43C14-4" descr="C:/Users/AAA/AppData/Local/Temp/wps.ENnga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4" descr="C:/Users/AAA/AppData/Local/Temp/wps.ENngakwps"/>
                          <pic:cNvPicPr>
                            <a:picLocks noChangeAspect="1"/>
                          </pic:cNvPicPr>
                        </pic:nvPicPr>
                        <pic:blipFill>
                          <a:blip r:embed="rId18"/>
                          <a:stretch>
                            <a:fillRect/>
                          </a:stretch>
                        </pic:blipFill>
                        <pic:spPr>
                          <a:xfrm>
                            <a:off x="0" y="0"/>
                            <a:ext cx="3051175" cy="2338070"/>
                          </a:xfrm>
                          <a:prstGeom prst="rect">
                            <a:avLst/>
                          </a:prstGeom>
                          <a:ln>
                            <a:solidFill>
                              <a:schemeClr val="tx1"/>
                            </a:solidFill>
                          </a:ln>
                        </pic:spPr>
                      </pic:pic>
                    </a:graphicData>
                  </a:graphic>
                </wp:inline>
              </w:drawing>
            </w:r>
          </w:p>
          <w:p w14:paraId="3159C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eastAsia="黑体"/>
                <w:color w:val="auto"/>
                <w:spacing w:val="0"/>
                <w:position w:val="0"/>
                <w:sz w:val="21"/>
                <w:szCs w:val="21"/>
              </w:rPr>
              <w:t>图</w:t>
            </w:r>
            <w:r>
              <w:rPr>
                <w:rFonts w:hint="eastAsia" w:eastAsia="黑体"/>
                <w:color w:val="auto"/>
                <w:spacing w:val="0"/>
                <w:position w:val="0"/>
                <w:sz w:val="21"/>
                <w:szCs w:val="21"/>
              </w:rPr>
              <w:t>2</w:t>
            </w:r>
            <w:r>
              <w:rPr>
                <w:rFonts w:hint="eastAsia" w:eastAsia="黑体"/>
                <w:color w:val="auto"/>
                <w:spacing w:val="0"/>
                <w:position w:val="0"/>
                <w:sz w:val="21"/>
                <w:szCs w:val="21"/>
                <w:lang w:val="en-US" w:eastAsia="zh-CN"/>
              </w:rPr>
              <w:t>-6</w:t>
            </w:r>
            <w:r>
              <w:rPr>
                <w:rFonts w:eastAsia="黑体"/>
                <w:color w:val="auto"/>
                <w:spacing w:val="0"/>
                <w:position w:val="0"/>
                <w:sz w:val="21"/>
                <w:szCs w:val="21"/>
              </w:rPr>
              <w:t xml:space="preserve"> </w:t>
            </w:r>
            <w:r>
              <w:rPr>
                <w:rFonts w:hint="eastAsia" w:eastAsia="黑体"/>
                <w:color w:val="auto"/>
                <w:spacing w:val="0"/>
                <w:position w:val="0"/>
                <w:sz w:val="21"/>
                <w:szCs w:val="21"/>
                <w:lang w:val="en-US" w:eastAsia="zh-CN"/>
              </w:rPr>
              <w:t>打包带生产</w:t>
            </w:r>
            <w:r>
              <w:rPr>
                <w:rFonts w:eastAsia="黑体"/>
                <w:color w:val="auto"/>
                <w:spacing w:val="0"/>
                <w:position w:val="0"/>
                <w:sz w:val="21"/>
                <w:szCs w:val="21"/>
              </w:rPr>
              <w:t>工艺流程</w:t>
            </w:r>
            <w:r>
              <w:rPr>
                <w:rFonts w:hint="eastAsia" w:eastAsia="黑体"/>
                <w:color w:val="auto"/>
                <w:spacing w:val="0"/>
                <w:position w:val="0"/>
                <w:sz w:val="21"/>
                <w:szCs w:val="21"/>
              </w:rPr>
              <w:t>图</w:t>
            </w:r>
          </w:p>
          <w:p w14:paraId="17B7FE9D">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bCs/>
                <w:color w:val="auto"/>
                <w:spacing w:val="0"/>
                <w:position w:val="0"/>
                <w:sz w:val="21"/>
                <w:szCs w:val="21"/>
              </w:rPr>
            </w:pPr>
            <w:r>
              <w:rPr>
                <w:b/>
                <w:bCs/>
                <w:color w:val="auto"/>
                <w:spacing w:val="0"/>
                <w:position w:val="0"/>
                <w:sz w:val="21"/>
                <w:szCs w:val="21"/>
              </w:rPr>
              <w:t>工艺流程说明</w:t>
            </w:r>
          </w:p>
          <w:p w14:paraId="0B48AE3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cs="宋体"/>
                <w:color w:val="auto"/>
                <w:spacing w:val="0"/>
                <w:position w:val="0"/>
                <w:sz w:val="21"/>
                <w:szCs w:val="21"/>
              </w:rPr>
            </w:pPr>
            <w:r>
              <w:rPr>
                <w:rFonts w:cs="宋体"/>
                <w:color w:val="auto"/>
                <w:spacing w:val="0"/>
                <w:position w:val="0"/>
                <w:sz w:val="21"/>
                <w:szCs w:val="21"/>
              </w:rPr>
              <w:t>1</w:t>
            </w:r>
            <w:r>
              <w:rPr>
                <w:rFonts w:hint="eastAsia" w:cs="宋体"/>
                <w:color w:val="auto"/>
                <w:spacing w:val="0"/>
                <w:position w:val="0"/>
                <w:sz w:val="21"/>
                <w:szCs w:val="21"/>
              </w:rPr>
              <w:t>）</w:t>
            </w:r>
            <w:r>
              <w:rPr>
                <w:rFonts w:hint="eastAsia" w:cs="宋体"/>
                <w:color w:val="auto"/>
                <w:spacing w:val="0"/>
                <w:position w:val="0"/>
                <w:sz w:val="21"/>
                <w:szCs w:val="21"/>
                <w:lang w:val="en-US" w:eastAsia="zh-CN"/>
              </w:rPr>
              <w:t>混料</w:t>
            </w:r>
            <w:r>
              <w:rPr>
                <w:rFonts w:hint="eastAsia" w:cs="宋体"/>
                <w:color w:val="auto"/>
                <w:spacing w:val="0"/>
                <w:position w:val="0"/>
                <w:sz w:val="21"/>
                <w:szCs w:val="21"/>
              </w:rPr>
              <w:t>：</w:t>
            </w:r>
            <w:r>
              <w:rPr>
                <w:rFonts w:hint="eastAsia" w:cs="宋体"/>
                <w:color w:val="auto"/>
                <w:spacing w:val="0"/>
                <w:position w:val="0"/>
                <w:sz w:val="21"/>
                <w:szCs w:val="21"/>
                <w:lang w:val="en-US" w:eastAsia="zh-CN"/>
              </w:rPr>
              <w:t>本项目所用原料皆为新料需要混料，混料机混料过程产生粉尘G</w:t>
            </w:r>
            <w:r>
              <w:rPr>
                <w:rFonts w:hint="eastAsia" w:cs="宋体"/>
                <w:color w:val="auto"/>
                <w:spacing w:val="0"/>
                <w:position w:val="0"/>
                <w:sz w:val="21"/>
                <w:szCs w:val="21"/>
                <w:vertAlign w:val="subscript"/>
                <w:lang w:val="en-US" w:eastAsia="zh-CN"/>
              </w:rPr>
              <w:t>4</w:t>
            </w:r>
            <w:r>
              <w:rPr>
                <w:rFonts w:hint="eastAsia" w:cs="宋体"/>
                <w:color w:val="auto"/>
                <w:spacing w:val="0"/>
                <w:position w:val="0"/>
                <w:sz w:val="21"/>
                <w:szCs w:val="21"/>
                <w:lang w:val="en-US" w:eastAsia="zh-CN"/>
              </w:rPr>
              <w:t>、废包装袋和废布袋S</w:t>
            </w:r>
            <w:r>
              <w:rPr>
                <w:rFonts w:hint="eastAsia" w:cs="宋体"/>
                <w:color w:val="auto"/>
                <w:spacing w:val="0"/>
                <w:position w:val="0"/>
                <w:sz w:val="21"/>
                <w:szCs w:val="21"/>
                <w:vertAlign w:val="subscript"/>
                <w:lang w:val="en-US" w:eastAsia="zh-CN"/>
              </w:rPr>
              <w:t>3</w:t>
            </w:r>
            <w:r>
              <w:rPr>
                <w:rFonts w:hint="eastAsia" w:cs="宋体"/>
                <w:color w:val="auto"/>
                <w:spacing w:val="0"/>
                <w:position w:val="0"/>
                <w:sz w:val="21"/>
                <w:szCs w:val="21"/>
                <w:lang w:val="en-US" w:eastAsia="zh-CN"/>
              </w:rPr>
              <w:t>及噪声N</w:t>
            </w:r>
            <w:r>
              <w:rPr>
                <w:rFonts w:hint="eastAsia" w:cs="宋体"/>
                <w:color w:val="auto"/>
                <w:spacing w:val="0"/>
                <w:position w:val="0"/>
                <w:sz w:val="21"/>
                <w:szCs w:val="21"/>
                <w:vertAlign w:val="subscript"/>
                <w:lang w:val="en-US" w:eastAsia="zh-CN"/>
              </w:rPr>
              <w:t>2</w:t>
            </w:r>
            <w:r>
              <w:rPr>
                <w:rFonts w:hint="eastAsia" w:cs="宋体"/>
                <w:color w:val="auto"/>
                <w:spacing w:val="0"/>
                <w:position w:val="0"/>
                <w:sz w:val="21"/>
                <w:szCs w:val="21"/>
              </w:rPr>
              <w:t>。</w:t>
            </w:r>
          </w:p>
          <w:p w14:paraId="6986E85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default" w:eastAsia="宋体" w:cs="宋体"/>
                <w:color w:val="auto"/>
                <w:spacing w:val="0"/>
                <w:position w:val="0"/>
                <w:sz w:val="21"/>
                <w:szCs w:val="21"/>
                <w:lang w:val="en-US" w:eastAsia="zh-CN"/>
              </w:rPr>
            </w:pPr>
            <w:r>
              <w:rPr>
                <w:rFonts w:cs="宋体"/>
                <w:color w:val="auto"/>
                <w:spacing w:val="0"/>
                <w:position w:val="0"/>
                <w:sz w:val="21"/>
                <w:szCs w:val="21"/>
              </w:rPr>
              <w:t>2</w:t>
            </w:r>
            <w:r>
              <w:rPr>
                <w:rFonts w:hint="eastAsia" w:cs="宋体"/>
                <w:color w:val="auto"/>
                <w:spacing w:val="0"/>
                <w:position w:val="0"/>
                <w:sz w:val="21"/>
                <w:szCs w:val="21"/>
              </w:rPr>
              <w:t>）</w:t>
            </w:r>
            <w:r>
              <w:rPr>
                <w:rFonts w:hint="eastAsia" w:cs="宋体"/>
                <w:color w:val="auto"/>
                <w:spacing w:val="0"/>
                <w:position w:val="0"/>
                <w:sz w:val="21"/>
                <w:szCs w:val="21"/>
                <w:lang w:val="en-US" w:eastAsia="zh-CN"/>
              </w:rPr>
              <w:t>人工上料：均匀混合后的物料由人工上料至加热挤出机，过程中不会产生粉尘或有机气体。</w:t>
            </w:r>
          </w:p>
          <w:p w14:paraId="732C703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lang w:val="en-US" w:eastAsia="zh-CN"/>
              </w:rPr>
            </w:pPr>
            <w:r>
              <w:rPr>
                <w:rFonts w:hint="eastAsia" w:cs="宋体"/>
                <w:color w:val="auto"/>
                <w:spacing w:val="0"/>
                <w:position w:val="0"/>
                <w:sz w:val="21"/>
                <w:szCs w:val="21"/>
                <w:lang w:val="en-US" w:eastAsia="zh-CN"/>
              </w:rPr>
              <w:t>3</w:t>
            </w:r>
            <w:r>
              <w:rPr>
                <w:rFonts w:hint="eastAsia" w:cs="宋体"/>
                <w:color w:val="auto"/>
                <w:spacing w:val="0"/>
                <w:position w:val="0"/>
                <w:sz w:val="21"/>
                <w:szCs w:val="21"/>
              </w:rPr>
              <w:t>）</w:t>
            </w:r>
            <w:r>
              <w:rPr>
                <w:rFonts w:hint="eastAsia" w:cs="宋体"/>
                <w:color w:val="auto"/>
                <w:spacing w:val="0"/>
                <w:position w:val="0"/>
                <w:sz w:val="21"/>
                <w:szCs w:val="21"/>
                <w:lang w:val="en-US" w:eastAsia="zh-CN"/>
              </w:rPr>
              <w:t>加热挤出</w:t>
            </w:r>
            <w:r>
              <w:rPr>
                <w:rFonts w:hint="eastAsia" w:cs="宋体"/>
                <w:color w:val="auto"/>
                <w:spacing w:val="0"/>
                <w:position w:val="0"/>
                <w:sz w:val="21"/>
                <w:szCs w:val="21"/>
              </w:rPr>
              <w:t>：</w:t>
            </w:r>
            <w:r>
              <w:rPr>
                <w:rFonts w:hint="eastAsia" w:cs="宋体"/>
                <w:color w:val="auto"/>
                <w:spacing w:val="0"/>
                <w:position w:val="0"/>
                <w:sz w:val="21"/>
                <w:szCs w:val="21"/>
                <w:lang w:val="en-US" w:eastAsia="zh-CN"/>
              </w:rPr>
              <w:t>根据工艺参数要求，设定挤出温度，当挤出机各区温度达到设定值后，搅拌均匀的混合料通过储料分料斗将原辅料输入至挤出机，挤出机采用电加热。加热后的原料熔化后通过挤出机挤出成形。原料熔化为浆状，但未达塑料粒子的裂解温度，成分基本不发生变化，但在高温下有轻微裂解后产生有机废气G</w:t>
            </w:r>
            <w:r>
              <w:rPr>
                <w:rFonts w:hint="eastAsia" w:cs="宋体"/>
                <w:color w:val="auto"/>
                <w:spacing w:val="0"/>
                <w:position w:val="0"/>
                <w:sz w:val="21"/>
                <w:szCs w:val="21"/>
                <w:vertAlign w:val="subscript"/>
                <w:lang w:val="en-US" w:eastAsia="zh-CN"/>
              </w:rPr>
              <w:t>5</w:t>
            </w:r>
            <w:r>
              <w:rPr>
                <w:rFonts w:hint="eastAsia" w:cs="宋体"/>
                <w:color w:val="auto"/>
                <w:spacing w:val="0"/>
                <w:position w:val="0"/>
                <w:sz w:val="21"/>
                <w:szCs w:val="21"/>
                <w:lang w:val="en-US" w:eastAsia="zh-CN"/>
              </w:rPr>
              <w:t>。</w:t>
            </w:r>
          </w:p>
          <w:p w14:paraId="22F5547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s="宋体"/>
                <w:color w:val="auto"/>
                <w:spacing w:val="0"/>
                <w:position w:val="0"/>
                <w:sz w:val="21"/>
                <w:szCs w:val="21"/>
                <w:lang w:val="en-US" w:eastAsia="zh-CN"/>
              </w:rPr>
            </w:pPr>
            <w:r>
              <w:rPr>
                <w:rFonts w:hint="eastAsia" w:cs="宋体"/>
                <w:color w:val="auto"/>
                <w:spacing w:val="0"/>
                <w:position w:val="0"/>
                <w:sz w:val="21"/>
                <w:szCs w:val="21"/>
                <w:lang w:val="en-US" w:eastAsia="zh-CN"/>
              </w:rPr>
              <w:t>4</w:t>
            </w:r>
            <w:r>
              <w:rPr>
                <w:rFonts w:hint="eastAsia" w:cs="宋体"/>
                <w:color w:val="auto"/>
                <w:spacing w:val="0"/>
                <w:position w:val="0"/>
                <w:sz w:val="21"/>
                <w:szCs w:val="21"/>
              </w:rPr>
              <w:t>）</w:t>
            </w:r>
            <w:r>
              <w:rPr>
                <w:rFonts w:hint="eastAsia" w:cs="宋体"/>
                <w:color w:val="auto"/>
                <w:spacing w:val="0"/>
                <w:position w:val="0"/>
                <w:sz w:val="21"/>
                <w:szCs w:val="21"/>
                <w:lang w:val="en-US" w:eastAsia="zh-CN"/>
              </w:rPr>
              <w:t>冷却拉伸</w:t>
            </w:r>
            <w:r>
              <w:rPr>
                <w:rFonts w:hint="eastAsia" w:cs="宋体"/>
                <w:color w:val="auto"/>
                <w:spacing w:val="0"/>
                <w:position w:val="0"/>
                <w:sz w:val="21"/>
                <w:szCs w:val="21"/>
              </w:rPr>
              <w:t>：</w:t>
            </w:r>
            <w:r>
              <w:rPr>
                <w:rFonts w:hint="eastAsia" w:cs="宋体"/>
                <w:color w:val="auto"/>
                <w:spacing w:val="0"/>
                <w:position w:val="0"/>
                <w:sz w:val="21"/>
                <w:szCs w:val="21"/>
                <w:lang w:val="en-US" w:eastAsia="zh-CN"/>
              </w:rPr>
              <w:t>挤出的打包带在生产设备中间接冷却，外设循环冷却水，冷却水不直接接触产品，冷却水可循环使用，</w:t>
            </w:r>
            <w:r>
              <w:rPr>
                <w:rFonts w:hint="default" w:cs="宋体"/>
                <w:color w:val="auto"/>
                <w:spacing w:val="0"/>
                <w:position w:val="0"/>
                <w:sz w:val="21"/>
                <w:szCs w:val="21"/>
                <w:lang w:val="en-US" w:eastAsia="zh-CN"/>
              </w:rPr>
              <w:t>冷却后的塑料</w:t>
            </w:r>
            <w:r>
              <w:rPr>
                <w:rFonts w:hint="eastAsia" w:cs="宋体"/>
                <w:color w:val="auto"/>
                <w:spacing w:val="0"/>
                <w:position w:val="0"/>
                <w:sz w:val="21"/>
                <w:szCs w:val="21"/>
                <w:lang w:val="en-US" w:eastAsia="zh-CN"/>
              </w:rPr>
              <w:t>在生产机器内</w:t>
            </w:r>
            <w:r>
              <w:rPr>
                <w:rFonts w:hint="default" w:cs="宋体"/>
                <w:color w:val="auto"/>
                <w:spacing w:val="0"/>
                <w:position w:val="0"/>
                <w:sz w:val="21"/>
                <w:szCs w:val="21"/>
                <w:lang w:val="en-US" w:eastAsia="zh-CN"/>
              </w:rPr>
              <w:t>进行拉伸</w:t>
            </w:r>
            <w:r>
              <w:rPr>
                <w:rFonts w:hint="eastAsia" w:cs="宋体"/>
                <w:color w:val="auto"/>
                <w:spacing w:val="0"/>
                <w:position w:val="0"/>
                <w:sz w:val="21"/>
                <w:szCs w:val="21"/>
                <w:lang w:val="en-US" w:eastAsia="zh-CN"/>
              </w:rPr>
              <w:t>。</w:t>
            </w:r>
          </w:p>
          <w:p w14:paraId="4EAF9A3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cs="宋体"/>
                <w:color w:val="auto"/>
                <w:spacing w:val="0"/>
                <w:position w:val="0"/>
                <w:sz w:val="21"/>
                <w:szCs w:val="21"/>
              </w:rPr>
            </w:pPr>
            <w:r>
              <w:rPr>
                <w:rFonts w:hint="eastAsia" w:cs="宋体"/>
                <w:color w:val="auto"/>
                <w:spacing w:val="0"/>
                <w:position w:val="0"/>
                <w:sz w:val="21"/>
                <w:szCs w:val="21"/>
                <w:lang w:val="en-US" w:eastAsia="zh-CN"/>
              </w:rPr>
              <w:t>5</w:t>
            </w:r>
            <w:r>
              <w:rPr>
                <w:rFonts w:hint="eastAsia" w:cs="宋体"/>
                <w:color w:val="auto"/>
                <w:spacing w:val="0"/>
                <w:position w:val="0"/>
                <w:sz w:val="21"/>
                <w:szCs w:val="21"/>
              </w:rPr>
              <w:t>）</w:t>
            </w:r>
            <w:r>
              <w:rPr>
                <w:rFonts w:hint="eastAsia" w:cs="宋体"/>
                <w:color w:val="auto"/>
                <w:spacing w:val="0"/>
                <w:position w:val="0"/>
                <w:sz w:val="21"/>
                <w:szCs w:val="21"/>
                <w:lang w:val="en-US" w:eastAsia="zh-CN"/>
              </w:rPr>
              <w:t>检验</w:t>
            </w:r>
            <w:r>
              <w:rPr>
                <w:rFonts w:hint="eastAsia" w:cs="宋体"/>
                <w:color w:val="auto"/>
                <w:spacing w:val="0"/>
                <w:position w:val="0"/>
                <w:sz w:val="21"/>
                <w:szCs w:val="21"/>
              </w:rPr>
              <w:t>：</w:t>
            </w:r>
            <w:r>
              <w:rPr>
                <w:rFonts w:hint="eastAsia" w:cs="宋体"/>
                <w:color w:val="auto"/>
                <w:spacing w:val="0"/>
                <w:position w:val="0"/>
                <w:sz w:val="21"/>
                <w:szCs w:val="21"/>
                <w:lang w:val="en-US" w:eastAsia="zh-CN"/>
              </w:rPr>
              <w:t>由员工根据相关标准对生产塑料管材进行检验，不合格管材</w:t>
            </w:r>
            <w:r>
              <w:rPr>
                <w:rFonts w:hint="default" w:cs="宋体"/>
                <w:color w:val="auto"/>
                <w:spacing w:val="0"/>
                <w:position w:val="0"/>
                <w:sz w:val="21"/>
                <w:szCs w:val="21"/>
                <w:lang w:val="en-US" w:eastAsia="zh-CN"/>
              </w:rPr>
              <w:t>S</w:t>
            </w:r>
            <w:r>
              <w:rPr>
                <w:rFonts w:hint="eastAsia" w:cs="宋体"/>
                <w:color w:val="auto"/>
                <w:spacing w:val="0"/>
                <w:position w:val="0"/>
                <w:sz w:val="21"/>
                <w:szCs w:val="21"/>
                <w:vertAlign w:val="subscript"/>
                <w:lang w:val="en-US" w:eastAsia="zh-CN"/>
              </w:rPr>
              <w:t>4</w:t>
            </w:r>
            <w:r>
              <w:rPr>
                <w:rFonts w:hint="eastAsia" w:cs="宋体"/>
                <w:color w:val="auto"/>
                <w:spacing w:val="0"/>
                <w:position w:val="0"/>
                <w:sz w:val="21"/>
                <w:szCs w:val="21"/>
                <w:lang w:val="en-US" w:eastAsia="zh-CN"/>
              </w:rPr>
              <w:t>由破碎机处理</w:t>
            </w:r>
            <w:r>
              <w:rPr>
                <w:rFonts w:hint="eastAsia" w:cs="宋体"/>
                <w:color w:val="auto"/>
                <w:spacing w:val="0"/>
                <w:position w:val="0"/>
                <w:sz w:val="21"/>
                <w:szCs w:val="21"/>
              </w:rPr>
              <w:t>。</w:t>
            </w:r>
          </w:p>
          <w:p w14:paraId="2C6408E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bCs/>
                <w:color w:val="auto"/>
                <w:spacing w:val="0"/>
                <w:position w:val="0"/>
                <w:sz w:val="21"/>
                <w:szCs w:val="21"/>
              </w:rPr>
            </w:pPr>
            <w:r>
              <w:rPr>
                <w:rFonts w:hint="eastAsia" w:cs="宋体"/>
                <w:color w:val="auto"/>
                <w:spacing w:val="0"/>
                <w:position w:val="0"/>
                <w:sz w:val="21"/>
                <w:szCs w:val="21"/>
                <w:lang w:val="en-US" w:eastAsia="zh-CN"/>
              </w:rPr>
              <w:t>6</w:t>
            </w:r>
            <w:r>
              <w:rPr>
                <w:rFonts w:hint="eastAsia" w:cs="宋体"/>
                <w:color w:val="auto"/>
                <w:spacing w:val="0"/>
                <w:position w:val="0"/>
                <w:sz w:val="21"/>
                <w:szCs w:val="21"/>
              </w:rPr>
              <w:t>）</w:t>
            </w:r>
            <w:r>
              <w:rPr>
                <w:rFonts w:hint="eastAsia" w:cs="宋体"/>
                <w:color w:val="auto"/>
                <w:spacing w:val="0"/>
                <w:position w:val="0"/>
                <w:sz w:val="21"/>
                <w:szCs w:val="21"/>
                <w:lang w:val="en-US" w:eastAsia="zh-CN"/>
              </w:rPr>
              <w:t>不合格产品破碎</w:t>
            </w:r>
            <w:r>
              <w:rPr>
                <w:rFonts w:hint="eastAsia" w:cs="宋体"/>
                <w:color w:val="auto"/>
                <w:spacing w:val="0"/>
                <w:position w:val="0"/>
                <w:sz w:val="21"/>
                <w:szCs w:val="21"/>
              </w:rPr>
              <w:t>：</w:t>
            </w:r>
            <w:r>
              <w:rPr>
                <w:rFonts w:hint="eastAsia" w:cs="宋体"/>
                <w:color w:val="auto"/>
                <w:spacing w:val="0"/>
                <w:position w:val="0"/>
                <w:sz w:val="21"/>
                <w:szCs w:val="21"/>
                <w:lang w:val="en-US" w:eastAsia="zh-CN"/>
              </w:rPr>
              <w:t>检验后的不合格产品送至破碎机破碎为原料重新回用于生产线，此过程产生粉尘G</w:t>
            </w:r>
            <w:r>
              <w:rPr>
                <w:rFonts w:hint="eastAsia" w:cs="宋体"/>
                <w:color w:val="auto"/>
                <w:spacing w:val="0"/>
                <w:position w:val="0"/>
                <w:sz w:val="21"/>
                <w:szCs w:val="21"/>
                <w:vertAlign w:val="subscript"/>
                <w:lang w:val="en-US" w:eastAsia="zh-CN"/>
              </w:rPr>
              <w:t>6</w:t>
            </w:r>
            <w:r>
              <w:rPr>
                <w:rFonts w:hint="eastAsia" w:cs="宋体"/>
                <w:color w:val="auto"/>
                <w:spacing w:val="0"/>
                <w:position w:val="0"/>
                <w:sz w:val="21"/>
                <w:szCs w:val="21"/>
              </w:rPr>
              <w:t>。</w:t>
            </w:r>
          </w:p>
          <w:p w14:paraId="1CE1B80C">
            <w:pPr>
              <w:keepNext w:val="0"/>
              <w:keepLines w:val="0"/>
              <w:pageBreakBefore w:val="0"/>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rPr>
            </w:pPr>
            <w:r>
              <w:rPr>
                <w:rFonts w:hint="eastAsia" w:cs="宋体"/>
                <w:color w:val="auto"/>
                <w:spacing w:val="0"/>
                <w:position w:val="0"/>
                <w:sz w:val="21"/>
                <w:szCs w:val="21"/>
                <w:lang w:val="en-US" w:eastAsia="zh-CN"/>
              </w:rPr>
              <w:t>7</w:t>
            </w:r>
            <w:r>
              <w:rPr>
                <w:rFonts w:hint="eastAsia" w:cs="宋体"/>
                <w:color w:val="auto"/>
                <w:spacing w:val="0"/>
                <w:position w:val="0"/>
                <w:sz w:val="21"/>
                <w:szCs w:val="21"/>
              </w:rPr>
              <w:t>）</w:t>
            </w:r>
            <w:r>
              <w:rPr>
                <w:rFonts w:hint="eastAsia" w:cs="宋体"/>
                <w:color w:val="auto"/>
                <w:spacing w:val="0"/>
                <w:position w:val="0"/>
                <w:sz w:val="21"/>
                <w:szCs w:val="21"/>
                <w:lang w:val="en-US" w:eastAsia="zh-CN"/>
              </w:rPr>
              <w:t>打包收卷</w:t>
            </w:r>
            <w:r>
              <w:rPr>
                <w:rFonts w:hint="eastAsia" w:cs="宋体"/>
                <w:color w:val="auto"/>
                <w:spacing w:val="0"/>
                <w:position w:val="0"/>
                <w:sz w:val="21"/>
                <w:szCs w:val="21"/>
              </w:rPr>
              <w:t>：</w:t>
            </w:r>
            <w:r>
              <w:rPr>
                <w:rFonts w:hint="eastAsia" w:cs="宋体"/>
                <w:color w:val="auto"/>
                <w:spacing w:val="0"/>
                <w:position w:val="0"/>
                <w:sz w:val="21"/>
                <w:szCs w:val="21"/>
                <w:lang w:val="en-US" w:eastAsia="zh-CN"/>
              </w:rPr>
              <w:t>检验的合格品直接打包</w:t>
            </w:r>
            <w:r>
              <w:rPr>
                <w:rFonts w:hint="default" w:cs="宋体"/>
                <w:color w:val="auto"/>
                <w:spacing w:val="0"/>
                <w:position w:val="0"/>
                <w:sz w:val="21"/>
                <w:szCs w:val="21"/>
                <w:lang w:val="en-US" w:eastAsia="zh-CN"/>
              </w:rPr>
              <w:t>在卷筒上进行收卷</w:t>
            </w:r>
            <w:r>
              <w:rPr>
                <w:rFonts w:hint="eastAsia" w:cs="宋体"/>
                <w:color w:val="auto"/>
                <w:spacing w:val="0"/>
                <w:position w:val="0"/>
                <w:sz w:val="21"/>
                <w:szCs w:val="21"/>
                <w:lang w:val="en-US" w:eastAsia="zh-CN"/>
              </w:rPr>
              <w:t>，存放于厂区的成品堆场</w:t>
            </w:r>
            <w:r>
              <w:rPr>
                <w:rFonts w:hint="eastAsia" w:cs="宋体"/>
                <w:color w:val="auto"/>
                <w:spacing w:val="0"/>
                <w:position w:val="0"/>
                <w:sz w:val="21"/>
                <w:szCs w:val="21"/>
              </w:rPr>
              <w:t>。</w:t>
            </w:r>
          </w:p>
          <w:p w14:paraId="7723F7CB">
            <w:pPr>
              <w:keepNext w:val="0"/>
              <w:keepLines w:val="0"/>
              <w:pageBreakBefore w:val="0"/>
              <w:kinsoku/>
              <w:wordWrap/>
              <w:overflowPunct/>
              <w:topLinePunct w:val="0"/>
              <w:autoSpaceDE/>
              <w:autoSpaceDN/>
              <w:bidi w:val="0"/>
              <w:adjustRightInd/>
              <w:snapToGrid/>
              <w:spacing w:line="360" w:lineRule="auto"/>
              <w:ind w:firstLine="560"/>
              <w:textAlignment w:val="auto"/>
              <w:rPr>
                <w:rFonts w:hint="eastAsia" w:cs="宋体"/>
                <w:color w:val="auto"/>
                <w:spacing w:val="0"/>
                <w:position w:val="0"/>
                <w:sz w:val="21"/>
                <w:szCs w:val="21"/>
                <w:lang w:val="en-US" w:eastAsia="zh-CN"/>
              </w:rPr>
            </w:pPr>
            <w:r>
              <w:rPr>
                <w:rFonts w:hint="eastAsia" w:cs="宋体"/>
                <w:color w:val="auto"/>
                <w:spacing w:val="0"/>
                <w:position w:val="0"/>
                <w:sz w:val="21"/>
                <w:szCs w:val="21"/>
                <w:lang w:val="en-US" w:eastAsia="zh-CN"/>
              </w:rPr>
              <w:t>8</w:t>
            </w:r>
            <w:r>
              <w:rPr>
                <w:rFonts w:hint="eastAsia" w:cs="宋体"/>
                <w:color w:val="auto"/>
                <w:spacing w:val="0"/>
                <w:position w:val="0"/>
                <w:sz w:val="21"/>
                <w:szCs w:val="21"/>
              </w:rPr>
              <w:t>）</w:t>
            </w:r>
            <w:r>
              <w:rPr>
                <w:rFonts w:hint="eastAsia" w:cs="宋体"/>
                <w:color w:val="auto"/>
                <w:spacing w:val="0"/>
                <w:position w:val="0"/>
                <w:sz w:val="21"/>
                <w:szCs w:val="21"/>
                <w:lang w:val="en-US" w:eastAsia="zh-CN"/>
              </w:rPr>
              <w:t>外售：合格产品打包存放于成品堆场，由汽车拉运外售。</w:t>
            </w:r>
          </w:p>
          <w:p w14:paraId="3B5E4715">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Times New Roman"/>
                <w:b/>
                <w:bCs/>
                <w:color w:val="auto"/>
                <w:spacing w:val="0"/>
                <w:kern w:val="2"/>
                <w:position w:val="0"/>
                <w:sz w:val="21"/>
                <w:szCs w:val="21"/>
                <w:lang w:val="en-US" w:eastAsia="zh-CN" w:bidi="ar-SA"/>
              </w:rPr>
            </w:pPr>
            <w:r>
              <w:rPr>
                <w:rFonts w:hint="eastAsia" w:ascii="Times New Roman" w:hAnsi="Times New Roman" w:eastAsia="宋体" w:cs="Times New Roman"/>
                <w:b/>
                <w:bCs/>
                <w:color w:val="auto"/>
                <w:spacing w:val="0"/>
                <w:kern w:val="2"/>
                <w:position w:val="0"/>
                <w:sz w:val="21"/>
                <w:szCs w:val="21"/>
                <w:lang w:val="en-US" w:eastAsia="zh-CN" w:bidi="ar-SA"/>
              </w:rPr>
              <w:t>2产污环节</w:t>
            </w:r>
          </w:p>
          <w:p w14:paraId="5DCDB488">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本项目废气产生环节有以下方面：混料过程会产生混料粉尘</w:t>
            </w:r>
            <w:r>
              <w:rPr>
                <w:rFonts w:hint="eastAsia" w:cs="宋体"/>
                <w:color w:val="auto"/>
                <w:spacing w:val="0"/>
                <w:position w:val="0"/>
                <w:sz w:val="21"/>
                <w:szCs w:val="21"/>
                <w:lang w:val="en-US" w:eastAsia="zh-CN"/>
              </w:rPr>
              <w:t>G</w:t>
            </w:r>
            <w:r>
              <w:rPr>
                <w:rFonts w:hint="eastAsia" w:cs="宋体"/>
                <w:color w:val="auto"/>
                <w:spacing w:val="0"/>
                <w:position w:val="0"/>
                <w:sz w:val="21"/>
                <w:szCs w:val="21"/>
                <w:vertAlign w:val="subscript"/>
                <w:lang w:val="en-US" w:eastAsia="zh-CN"/>
              </w:rPr>
              <w:t>1</w:t>
            </w:r>
            <w:r>
              <w:rPr>
                <w:rFonts w:hint="eastAsia" w:cs="宋体"/>
                <w:color w:val="auto"/>
                <w:spacing w:val="0"/>
                <w:position w:val="0"/>
                <w:sz w:val="21"/>
                <w:szCs w:val="21"/>
                <w:lang w:val="en-US" w:eastAsia="zh-CN"/>
              </w:rPr>
              <w:t>，加热挤出工序会产生有机废气G</w:t>
            </w:r>
            <w:r>
              <w:rPr>
                <w:rFonts w:hint="eastAsia" w:cs="宋体"/>
                <w:color w:val="auto"/>
                <w:spacing w:val="0"/>
                <w:position w:val="0"/>
                <w:sz w:val="21"/>
                <w:szCs w:val="21"/>
                <w:vertAlign w:val="subscript"/>
                <w:lang w:val="en-US" w:eastAsia="zh-CN"/>
              </w:rPr>
              <w:t>2</w:t>
            </w:r>
            <w:r>
              <w:rPr>
                <w:rFonts w:hint="eastAsia" w:cs="宋体"/>
                <w:color w:val="auto"/>
                <w:spacing w:val="0"/>
                <w:position w:val="0"/>
                <w:sz w:val="21"/>
                <w:szCs w:val="21"/>
                <w:lang w:val="en-US" w:eastAsia="zh-CN"/>
              </w:rPr>
              <w:t>，不合格产品破碎过程会产生粉尘G</w:t>
            </w:r>
            <w:r>
              <w:rPr>
                <w:rFonts w:hint="eastAsia" w:cs="宋体"/>
                <w:color w:val="auto"/>
                <w:spacing w:val="0"/>
                <w:position w:val="0"/>
                <w:sz w:val="21"/>
                <w:szCs w:val="21"/>
                <w:vertAlign w:val="subscript"/>
                <w:lang w:val="en-US" w:eastAsia="zh-CN"/>
              </w:rPr>
              <w:t>3</w:t>
            </w:r>
            <w:r>
              <w:rPr>
                <w:rFonts w:hint="eastAsia" w:cs="宋体"/>
                <w:color w:val="auto"/>
                <w:spacing w:val="0"/>
                <w:position w:val="0"/>
                <w:sz w:val="21"/>
                <w:szCs w:val="21"/>
                <w:lang w:val="en-US" w:eastAsia="zh-CN"/>
              </w:rPr>
              <w:t>；废水主要为职工生活废水和冷却循环用水W；噪声</w:t>
            </w:r>
            <w:r>
              <w:rPr>
                <w:rFonts w:hint="default" w:ascii="Times New Roman" w:hAnsi="Times New Roman" w:cs="Times New Roman"/>
                <w:bCs/>
                <w:color w:val="auto"/>
                <w:sz w:val="21"/>
                <w:szCs w:val="21"/>
                <w:lang w:val="en-US" w:eastAsia="zh-CN"/>
              </w:rPr>
              <w:t>主要为生产设备运行机械噪声N</w:t>
            </w:r>
            <w:r>
              <w:rPr>
                <w:rFonts w:hint="eastAsia"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固体废物主要为生产中</w:t>
            </w:r>
            <w:r>
              <w:rPr>
                <w:rFonts w:hint="eastAsia" w:cs="Times New Roman"/>
                <w:bCs/>
                <w:color w:val="auto"/>
                <w:sz w:val="21"/>
                <w:szCs w:val="21"/>
                <w:lang w:val="en-US" w:eastAsia="zh-CN"/>
              </w:rPr>
              <w:t>废包装袋S</w:t>
            </w:r>
            <w:r>
              <w:rPr>
                <w:rFonts w:hint="eastAsia" w:cs="Times New Roman"/>
                <w:bCs/>
                <w:color w:val="auto"/>
                <w:sz w:val="21"/>
                <w:szCs w:val="21"/>
                <w:vertAlign w:val="subscript"/>
                <w:lang w:val="en-US" w:eastAsia="zh-CN"/>
              </w:rPr>
              <w:t>1</w:t>
            </w:r>
            <w:r>
              <w:rPr>
                <w:rFonts w:hint="eastAsia" w:cs="Times New Roman"/>
                <w:bCs/>
                <w:color w:val="auto"/>
                <w:sz w:val="21"/>
                <w:szCs w:val="21"/>
                <w:lang w:val="en-US" w:eastAsia="zh-CN"/>
              </w:rPr>
              <w:t>、</w:t>
            </w:r>
            <w:r>
              <w:rPr>
                <w:rFonts w:hint="eastAsia" w:cs="宋体"/>
                <w:color w:val="auto"/>
                <w:spacing w:val="0"/>
                <w:position w:val="0"/>
                <w:sz w:val="21"/>
                <w:szCs w:val="21"/>
                <w:lang w:val="en-US" w:eastAsia="zh-CN"/>
              </w:rPr>
              <w:t>产品检验过程产生的不合格产品</w:t>
            </w:r>
            <w:r>
              <w:rPr>
                <w:rFonts w:hint="default" w:cs="宋体"/>
                <w:color w:val="auto"/>
                <w:spacing w:val="0"/>
                <w:position w:val="0"/>
                <w:sz w:val="21"/>
                <w:szCs w:val="21"/>
                <w:lang w:val="en-US" w:eastAsia="zh-CN"/>
              </w:rPr>
              <w:t>S</w:t>
            </w:r>
            <w:r>
              <w:rPr>
                <w:rFonts w:hint="eastAsia" w:cs="宋体"/>
                <w:color w:val="auto"/>
                <w:spacing w:val="0"/>
                <w:position w:val="0"/>
                <w:sz w:val="21"/>
                <w:szCs w:val="21"/>
                <w:vertAlign w:val="subscript"/>
                <w:lang w:val="en-US" w:eastAsia="zh-CN"/>
              </w:rPr>
              <w:t>2</w:t>
            </w:r>
            <w:r>
              <w:rPr>
                <w:rFonts w:hint="eastAsia" w:cs="宋体"/>
                <w:color w:val="auto"/>
                <w:spacing w:val="0"/>
                <w:position w:val="0"/>
                <w:sz w:val="21"/>
                <w:szCs w:val="21"/>
                <w:lang w:val="en-US" w:eastAsia="zh-CN"/>
              </w:rPr>
              <w:t>，</w:t>
            </w:r>
            <w:r>
              <w:rPr>
                <w:rFonts w:hint="eastAsia" w:ascii="Times New Roman" w:hAnsi="Times New Roman" w:cs="Times New Roman"/>
                <w:bCs/>
                <w:color w:val="auto"/>
                <w:sz w:val="21"/>
                <w:szCs w:val="21"/>
                <w:lang w:val="en-US" w:eastAsia="zh-CN"/>
              </w:rPr>
              <w:t>和危险废物</w:t>
            </w:r>
            <w:r>
              <w:rPr>
                <w:rFonts w:hint="eastAsia" w:ascii="Times New Roman" w:hAnsi="Times New Roman" w:eastAsia="宋体" w:cs="Times New Roman"/>
                <w:color w:val="auto"/>
                <w:sz w:val="21"/>
                <w:szCs w:val="21"/>
                <w:lang w:val="en-US" w:eastAsia="zh-CN"/>
              </w:rPr>
              <w:t>和</w:t>
            </w:r>
            <w:r>
              <w:rPr>
                <w:rFonts w:hint="default" w:ascii="Times New Roman" w:hAnsi="Times New Roman" w:cs="Times New Roman"/>
                <w:bCs/>
                <w:color w:val="auto"/>
                <w:sz w:val="21"/>
                <w:szCs w:val="21"/>
                <w:lang w:val="en-US" w:eastAsia="zh-CN"/>
              </w:rPr>
              <w:t>生活垃圾。</w:t>
            </w:r>
            <w:r>
              <w:rPr>
                <w:rFonts w:hint="eastAsia" w:cs="Times New Roman"/>
                <w:b w:val="0"/>
                <w:bCs w:val="0"/>
                <w:color w:val="auto"/>
                <w:spacing w:val="0"/>
                <w:kern w:val="2"/>
                <w:position w:val="0"/>
                <w:sz w:val="21"/>
                <w:szCs w:val="21"/>
                <w:lang w:val="en-US" w:eastAsia="zh-CN" w:bidi="ar-SA"/>
              </w:rPr>
              <w:t>本项目具体产污环节见下表</w:t>
            </w:r>
          </w:p>
          <w:p w14:paraId="03C7CFB5">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2-</w:t>
            </w:r>
            <w:r>
              <w:rPr>
                <w:rFonts w:hint="eastAsia" w:ascii="Times New Roman" w:hAnsi="Times New Roman" w:cs="Times New Roman"/>
                <w:b/>
                <w:snapToGrid w:val="0"/>
                <w:color w:val="auto"/>
                <w:spacing w:val="0"/>
                <w:kern w:val="0"/>
                <w:position w:val="0"/>
                <w:sz w:val="21"/>
                <w:szCs w:val="21"/>
                <w:lang w:val="en-US" w:eastAsia="zh-CN"/>
              </w:rPr>
              <w:t>9</w:t>
            </w:r>
            <w:r>
              <w:rPr>
                <w:rFonts w:hint="eastAsia" w:ascii="Times New Roman" w:hAnsi="Times New Roman" w:eastAsia="宋体" w:cs="Times New Roman"/>
                <w:b/>
                <w:snapToGrid w:val="0"/>
                <w:color w:val="auto"/>
                <w:spacing w:val="0"/>
                <w:kern w:val="0"/>
                <w:position w:val="0"/>
                <w:sz w:val="21"/>
                <w:szCs w:val="21"/>
                <w:lang w:val="en-US" w:eastAsia="zh-CN"/>
              </w:rPr>
              <w:t xml:space="preserve">   项目产污环节一览</w:t>
            </w:r>
            <w:r>
              <w:rPr>
                <w:rFonts w:hint="default" w:ascii="Times New Roman" w:hAnsi="Times New Roman" w:eastAsia="宋体" w:cs="Times New Roman"/>
                <w:b/>
                <w:snapToGrid w:val="0"/>
                <w:color w:val="auto"/>
                <w:spacing w:val="0"/>
                <w:kern w:val="0"/>
                <w:position w:val="0"/>
                <w:sz w:val="21"/>
                <w:szCs w:val="21"/>
                <w:lang w:val="en-US" w:eastAsia="zh-CN"/>
              </w:rPr>
              <w:t>表</w:t>
            </w:r>
          </w:p>
          <w:tbl>
            <w:tblPr>
              <w:tblStyle w:val="31"/>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583"/>
              <w:gridCol w:w="834"/>
              <w:gridCol w:w="1937"/>
              <w:gridCol w:w="3362"/>
            </w:tblGrid>
            <w:tr w14:paraId="7250D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tcBorders>
                    <w:tl2br w:val="nil"/>
                    <w:tr2bl w:val="nil"/>
                  </w:tcBorders>
                  <w:noWrap w:val="0"/>
                  <w:vAlign w:val="center"/>
                </w:tcPr>
                <w:p w14:paraId="638BA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项目</w:t>
                  </w:r>
                </w:p>
              </w:tc>
              <w:tc>
                <w:tcPr>
                  <w:tcW w:w="947" w:type="pct"/>
                  <w:tcBorders>
                    <w:tl2br w:val="nil"/>
                    <w:tr2bl w:val="nil"/>
                  </w:tcBorders>
                  <w:noWrap w:val="0"/>
                  <w:vAlign w:val="center"/>
                </w:tcPr>
                <w:p w14:paraId="73559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污染物</w:t>
                  </w:r>
                </w:p>
              </w:tc>
              <w:tc>
                <w:tcPr>
                  <w:tcW w:w="499" w:type="pct"/>
                  <w:tcBorders>
                    <w:tl2br w:val="nil"/>
                    <w:tr2bl w:val="nil"/>
                  </w:tcBorders>
                  <w:noWrap w:val="0"/>
                  <w:vAlign w:val="center"/>
                </w:tcPr>
                <w:p w14:paraId="52F6A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编号</w:t>
                  </w:r>
                </w:p>
              </w:tc>
              <w:tc>
                <w:tcPr>
                  <w:tcW w:w="1159" w:type="pct"/>
                  <w:tcBorders>
                    <w:tl2br w:val="nil"/>
                    <w:tr2bl w:val="nil"/>
                  </w:tcBorders>
                  <w:noWrap w:val="0"/>
                  <w:vAlign w:val="center"/>
                </w:tcPr>
                <w:p w14:paraId="5A90B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产污工序</w:t>
                  </w:r>
                </w:p>
              </w:tc>
              <w:tc>
                <w:tcPr>
                  <w:tcW w:w="2012" w:type="pct"/>
                  <w:tcBorders>
                    <w:tl2br w:val="nil"/>
                    <w:tr2bl w:val="nil"/>
                  </w:tcBorders>
                  <w:noWrap w:val="0"/>
                  <w:vAlign w:val="center"/>
                </w:tcPr>
                <w:p w14:paraId="114696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主要成分</w:t>
                  </w:r>
                </w:p>
              </w:tc>
            </w:tr>
            <w:tr w14:paraId="372A3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vMerge w:val="restart"/>
                  <w:tcBorders>
                    <w:tl2br w:val="nil"/>
                    <w:tr2bl w:val="nil"/>
                  </w:tcBorders>
                  <w:noWrap w:val="0"/>
                  <w:vAlign w:val="center"/>
                </w:tcPr>
                <w:p w14:paraId="44D47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废气</w:t>
                  </w:r>
                </w:p>
              </w:tc>
              <w:tc>
                <w:tcPr>
                  <w:tcW w:w="947" w:type="pct"/>
                  <w:tcBorders>
                    <w:tl2br w:val="nil"/>
                    <w:tr2bl w:val="nil"/>
                  </w:tcBorders>
                  <w:noWrap w:val="0"/>
                  <w:vAlign w:val="center"/>
                </w:tcPr>
                <w:p w14:paraId="2BA34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b w:val="0"/>
                      <w:bCs w:val="0"/>
                      <w:color w:val="auto"/>
                      <w:sz w:val="21"/>
                      <w:szCs w:val="21"/>
                      <w:lang w:val="en-US" w:eastAsia="zh-CN"/>
                    </w:rPr>
                    <w:t>混料粉尘</w:t>
                  </w:r>
                </w:p>
              </w:tc>
              <w:tc>
                <w:tcPr>
                  <w:tcW w:w="499" w:type="pct"/>
                  <w:tcBorders>
                    <w:tl2br w:val="nil"/>
                    <w:tr2bl w:val="nil"/>
                  </w:tcBorders>
                  <w:noWrap w:val="0"/>
                  <w:vAlign w:val="center"/>
                </w:tcPr>
                <w:p w14:paraId="75ECF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sz w:val="21"/>
                      <w:szCs w:val="21"/>
                      <w:highlight w:val="none"/>
                      <w:vertAlign w:val="baseline"/>
                      <w:lang w:val="en-US" w:eastAsia="zh-CN"/>
                    </w:rPr>
                    <w:t>G</w:t>
                  </w:r>
                  <w:r>
                    <w:rPr>
                      <w:rFonts w:hint="default" w:ascii="Times New Roman" w:hAnsi="Times New Roman" w:eastAsia="宋体" w:cs="Times New Roman"/>
                      <w:b w:val="0"/>
                      <w:bCs w:val="0"/>
                      <w:snapToGrid w:val="0"/>
                      <w:color w:val="auto"/>
                      <w:sz w:val="21"/>
                      <w:szCs w:val="21"/>
                      <w:highlight w:val="none"/>
                      <w:vertAlign w:val="subscript"/>
                      <w:lang w:val="en-US" w:eastAsia="zh-CN"/>
                    </w:rPr>
                    <w:t>1</w:t>
                  </w:r>
                  <w:r>
                    <w:rPr>
                      <w:rFonts w:hint="eastAsia" w:cs="Times New Roman"/>
                      <w:b w:val="0"/>
                      <w:bCs w:val="0"/>
                      <w:snapToGrid w:val="0"/>
                      <w:color w:val="auto"/>
                      <w:sz w:val="21"/>
                      <w:szCs w:val="21"/>
                      <w:highlight w:val="none"/>
                      <w:vertAlign w:val="baseline"/>
                      <w:lang w:val="en-US" w:eastAsia="zh-CN"/>
                    </w:rPr>
                    <w:t>、</w:t>
                  </w:r>
                  <w:r>
                    <w:rPr>
                      <w:rFonts w:hint="eastAsia" w:cs="宋体"/>
                      <w:color w:val="auto"/>
                      <w:spacing w:val="0"/>
                      <w:position w:val="0"/>
                      <w:sz w:val="21"/>
                      <w:szCs w:val="21"/>
                      <w:lang w:val="en-US" w:eastAsia="zh-CN"/>
                    </w:rPr>
                    <w:t>G</w:t>
                  </w:r>
                  <w:r>
                    <w:rPr>
                      <w:rFonts w:hint="eastAsia" w:cs="宋体"/>
                      <w:color w:val="auto"/>
                      <w:spacing w:val="0"/>
                      <w:position w:val="0"/>
                      <w:sz w:val="21"/>
                      <w:szCs w:val="21"/>
                      <w:vertAlign w:val="subscript"/>
                      <w:lang w:val="en-US" w:eastAsia="zh-CN"/>
                    </w:rPr>
                    <w:t>4</w:t>
                  </w:r>
                </w:p>
              </w:tc>
              <w:tc>
                <w:tcPr>
                  <w:tcW w:w="1159" w:type="pct"/>
                  <w:tcBorders>
                    <w:tl2br w:val="nil"/>
                    <w:tr2bl w:val="nil"/>
                  </w:tcBorders>
                  <w:noWrap w:val="0"/>
                  <w:vAlign w:val="center"/>
                </w:tcPr>
                <w:p w14:paraId="5E78E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b w:val="0"/>
                      <w:bCs w:val="0"/>
                      <w:color w:val="auto"/>
                      <w:kern w:val="0"/>
                      <w:sz w:val="21"/>
                      <w:szCs w:val="21"/>
                      <w:lang w:val="en-US" w:eastAsia="zh-CN" w:bidi="ar"/>
                    </w:rPr>
                    <w:t>原料混料</w:t>
                  </w:r>
                </w:p>
              </w:tc>
              <w:tc>
                <w:tcPr>
                  <w:tcW w:w="2012" w:type="pct"/>
                  <w:tcBorders>
                    <w:tl2br w:val="nil"/>
                    <w:tr2bl w:val="nil"/>
                  </w:tcBorders>
                  <w:noWrap w:val="0"/>
                  <w:vAlign w:val="center"/>
                </w:tcPr>
                <w:p w14:paraId="4A4E0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r>
            <w:tr w14:paraId="6BDC7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81" w:type="pct"/>
                  <w:vMerge w:val="continue"/>
                  <w:tcBorders>
                    <w:tl2br w:val="nil"/>
                    <w:tr2bl w:val="nil"/>
                  </w:tcBorders>
                  <w:noWrap w:val="0"/>
                  <w:vAlign w:val="center"/>
                </w:tcPr>
                <w:p w14:paraId="19CEE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947" w:type="pct"/>
                  <w:tcBorders>
                    <w:tl2br w:val="nil"/>
                    <w:tr2bl w:val="nil"/>
                  </w:tcBorders>
                  <w:noWrap w:val="0"/>
                  <w:vAlign w:val="center"/>
                </w:tcPr>
                <w:p w14:paraId="0AA96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snapToGrid w:val="0"/>
                      <w:color w:val="auto"/>
                      <w:kern w:val="2"/>
                      <w:sz w:val="21"/>
                      <w:szCs w:val="21"/>
                      <w:highlight w:val="none"/>
                      <w:vertAlign w:val="baseline"/>
                      <w:lang w:val="en-US" w:eastAsia="zh-CN" w:bidi="ar-SA"/>
                    </w:rPr>
                  </w:pPr>
                  <w:r>
                    <w:rPr>
                      <w:rFonts w:hint="eastAsia"/>
                      <w:b w:val="0"/>
                      <w:bCs w:val="0"/>
                      <w:color w:val="auto"/>
                      <w:sz w:val="21"/>
                      <w:szCs w:val="21"/>
                      <w:lang w:val="en-US" w:eastAsia="zh-CN"/>
                    </w:rPr>
                    <w:t>有机</w:t>
                  </w:r>
                  <w:r>
                    <w:rPr>
                      <w:rFonts w:hint="eastAsia" w:ascii="Times New Roman" w:hAnsi="Times New Roman" w:cs="Times New Roman"/>
                      <w:b w:val="0"/>
                      <w:bCs w:val="0"/>
                      <w:snapToGrid w:val="0"/>
                      <w:color w:val="auto"/>
                      <w:sz w:val="21"/>
                      <w:szCs w:val="21"/>
                      <w:highlight w:val="none"/>
                      <w:vertAlign w:val="baseline"/>
                      <w:lang w:val="en-US" w:eastAsia="zh-CN"/>
                    </w:rPr>
                    <w:t>废气</w:t>
                  </w:r>
                </w:p>
              </w:tc>
              <w:tc>
                <w:tcPr>
                  <w:tcW w:w="499" w:type="pct"/>
                  <w:tcBorders>
                    <w:tl2br w:val="nil"/>
                    <w:tr2bl w:val="nil"/>
                  </w:tcBorders>
                  <w:noWrap w:val="0"/>
                  <w:vAlign w:val="center"/>
                </w:tcPr>
                <w:p w14:paraId="606B57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sz w:val="21"/>
                      <w:szCs w:val="21"/>
                      <w:highlight w:val="none"/>
                      <w:vertAlign w:val="baseline"/>
                      <w:lang w:val="en-US" w:eastAsia="zh-CN"/>
                    </w:rPr>
                    <w:t>G</w:t>
                  </w:r>
                  <w:r>
                    <w:rPr>
                      <w:rFonts w:hint="default" w:ascii="Times New Roman" w:hAnsi="Times New Roman" w:cs="Times New Roman"/>
                      <w:b w:val="0"/>
                      <w:bCs w:val="0"/>
                      <w:snapToGrid w:val="0"/>
                      <w:color w:val="auto"/>
                      <w:sz w:val="21"/>
                      <w:szCs w:val="21"/>
                      <w:highlight w:val="none"/>
                      <w:vertAlign w:val="subscript"/>
                      <w:lang w:val="en-US" w:eastAsia="zh-CN"/>
                    </w:rPr>
                    <w:t>2</w:t>
                  </w:r>
                  <w:r>
                    <w:rPr>
                      <w:rFonts w:hint="eastAsia" w:cs="Times New Roman"/>
                      <w:b w:val="0"/>
                      <w:bCs w:val="0"/>
                      <w:snapToGrid w:val="0"/>
                      <w:color w:val="auto"/>
                      <w:sz w:val="21"/>
                      <w:szCs w:val="21"/>
                      <w:highlight w:val="none"/>
                      <w:vertAlign w:val="baseline"/>
                      <w:lang w:val="en-US" w:eastAsia="zh-CN"/>
                    </w:rPr>
                    <w:t>、G</w:t>
                  </w:r>
                  <w:r>
                    <w:rPr>
                      <w:rFonts w:hint="eastAsia" w:cs="Times New Roman"/>
                      <w:b w:val="0"/>
                      <w:bCs w:val="0"/>
                      <w:snapToGrid w:val="0"/>
                      <w:color w:val="auto"/>
                      <w:sz w:val="21"/>
                      <w:szCs w:val="21"/>
                      <w:highlight w:val="none"/>
                      <w:vertAlign w:val="subscript"/>
                      <w:lang w:val="en-US" w:eastAsia="zh-CN"/>
                    </w:rPr>
                    <w:t>5</w:t>
                  </w:r>
                </w:p>
              </w:tc>
              <w:tc>
                <w:tcPr>
                  <w:tcW w:w="1159" w:type="pct"/>
                  <w:tcBorders>
                    <w:tl2br w:val="nil"/>
                    <w:tr2bl w:val="nil"/>
                  </w:tcBorders>
                  <w:noWrap w:val="0"/>
                  <w:vAlign w:val="center"/>
                </w:tcPr>
                <w:p w14:paraId="65FD3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b w:val="0"/>
                      <w:bCs w:val="0"/>
                      <w:color w:val="auto"/>
                      <w:sz w:val="21"/>
                      <w:szCs w:val="21"/>
                      <w:lang w:val="en-US" w:eastAsia="zh-CN"/>
                    </w:rPr>
                    <w:t>加热挤出</w:t>
                  </w:r>
                </w:p>
              </w:tc>
              <w:tc>
                <w:tcPr>
                  <w:tcW w:w="2012" w:type="pct"/>
                  <w:tcBorders>
                    <w:tl2br w:val="nil"/>
                    <w:tr2bl w:val="nil"/>
                  </w:tcBorders>
                  <w:noWrap w:val="0"/>
                  <w:vAlign w:val="center"/>
                </w:tcPr>
                <w:p w14:paraId="76A1BA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t>非甲烷总烃</w:t>
                  </w:r>
                </w:p>
              </w:tc>
            </w:tr>
            <w:tr w14:paraId="31740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81" w:type="pct"/>
                  <w:vMerge w:val="continue"/>
                  <w:tcBorders>
                    <w:tl2br w:val="nil"/>
                    <w:tr2bl w:val="nil"/>
                  </w:tcBorders>
                  <w:noWrap w:val="0"/>
                  <w:vAlign w:val="center"/>
                </w:tcPr>
                <w:p w14:paraId="733615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47" w:type="pct"/>
                  <w:tcBorders>
                    <w:tl2br w:val="nil"/>
                    <w:tr2bl w:val="nil"/>
                  </w:tcBorders>
                  <w:noWrap w:val="0"/>
                  <w:vAlign w:val="center"/>
                </w:tcPr>
                <w:p w14:paraId="5AAC1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val="0"/>
                      <w:bCs w:val="0"/>
                      <w:color w:val="auto"/>
                      <w:sz w:val="21"/>
                      <w:szCs w:val="21"/>
                    </w:rPr>
                  </w:pPr>
                  <w:r>
                    <w:rPr>
                      <w:rFonts w:hint="eastAsia"/>
                      <w:b w:val="0"/>
                      <w:bCs w:val="0"/>
                      <w:color w:val="auto"/>
                      <w:sz w:val="21"/>
                      <w:szCs w:val="21"/>
                      <w:lang w:val="en-US" w:eastAsia="zh-CN"/>
                    </w:rPr>
                    <w:t>破碎粉尘</w:t>
                  </w:r>
                </w:p>
              </w:tc>
              <w:tc>
                <w:tcPr>
                  <w:tcW w:w="499" w:type="pct"/>
                  <w:tcBorders>
                    <w:tl2br w:val="nil"/>
                    <w:tr2bl w:val="nil"/>
                  </w:tcBorders>
                  <w:noWrap w:val="0"/>
                  <w:vAlign w:val="center"/>
                </w:tcPr>
                <w:p w14:paraId="03FF8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b w:val="0"/>
                      <w:bCs w:val="0"/>
                      <w:color w:val="auto"/>
                      <w:sz w:val="21"/>
                      <w:szCs w:val="21"/>
                      <w:lang w:val="en-US"/>
                    </w:rPr>
                  </w:pPr>
                  <w:r>
                    <w:rPr>
                      <w:rFonts w:hint="default" w:ascii="Times New Roman" w:hAnsi="Times New Roman" w:eastAsia="宋体" w:cs="Times New Roman"/>
                      <w:b w:val="0"/>
                      <w:bCs w:val="0"/>
                      <w:snapToGrid w:val="0"/>
                      <w:color w:val="auto"/>
                      <w:sz w:val="21"/>
                      <w:szCs w:val="21"/>
                      <w:highlight w:val="none"/>
                      <w:vertAlign w:val="baseline"/>
                      <w:lang w:val="en-US" w:eastAsia="zh-CN"/>
                    </w:rPr>
                    <w:t>G</w:t>
                  </w:r>
                  <w:r>
                    <w:rPr>
                      <w:rFonts w:hint="eastAsia" w:ascii="Times New Roman" w:hAnsi="Times New Roman" w:cs="Times New Roman"/>
                      <w:b w:val="0"/>
                      <w:bCs w:val="0"/>
                      <w:snapToGrid w:val="0"/>
                      <w:color w:val="auto"/>
                      <w:sz w:val="21"/>
                      <w:szCs w:val="21"/>
                      <w:highlight w:val="none"/>
                      <w:vertAlign w:val="subscript"/>
                      <w:lang w:val="en-US" w:eastAsia="zh-CN"/>
                    </w:rPr>
                    <w:t>3</w:t>
                  </w:r>
                  <w:r>
                    <w:rPr>
                      <w:rFonts w:hint="eastAsia" w:cs="Times New Roman"/>
                      <w:b w:val="0"/>
                      <w:bCs w:val="0"/>
                      <w:snapToGrid w:val="0"/>
                      <w:color w:val="auto"/>
                      <w:sz w:val="21"/>
                      <w:szCs w:val="21"/>
                      <w:highlight w:val="none"/>
                      <w:vertAlign w:val="baseline"/>
                      <w:lang w:val="en-US" w:eastAsia="zh-CN"/>
                    </w:rPr>
                    <w:t>、G</w:t>
                  </w:r>
                  <w:r>
                    <w:rPr>
                      <w:rFonts w:hint="eastAsia" w:cs="Times New Roman"/>
                      <w:b w:val="0"/>
                      <w:bCs w:val="0"/>
                      <w:snapToGrid w:val="0"/>
                      <w:color w:val="auto"/>
                      <w:sz w:val="21"/>
                      <w:szCs w:val="21"/>
                      <w:highlight w:val="none"/>
                      <w:vertAlign w:val="subscript"/>
                      <w:lang w:val="en-US" w:eastAsia="zh-CN"/>
                    </w:rPr>
                    <w:t>6</w:t>
                  </w:r>
                </w:p>
              </w:tc>
              <w:tc>
                <w:tcPr>
                  <w:tcW w:w="1159" w:type="pct"/>
                  <w:tcBorders>
                    <w:tl2br w:val="nil"/>
                    <w:tr2bl w:val="nil"/>
                  </w:tcBorders>
                  <w:noWrap w:val="0"/>
                  <w:vAlign w:val="center"/>
                </w:tcPr>
                <w:p w14:paraId="5BA43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lang w:val="en-US" w:eastAsia="zh-CN"/>
                    </w:rPr>
                  </w:pPr>
                  <w:r>
                    <w:rPr>
                      <w:rFonts w:hint="eastAsia"/>
                      <w:b w:val="0"/>
                      <w:bCs w:val="0"/>
                      <w:color w:val="auto"/>
                      <w:sz w:val="21"/>
                      <w:szCs w:val="21"/>
                      <w:lang w:val="en-US" w:eastAsia="zh-CN"/>
                    </w:rPr>
                    <w:t>不合格品破碎</w:t>
                  </w:r>
                </w:p>
              </w:tc>
              <w:tc>
                <w:tcPr>
                  <w:tcW w:w="2012" w:type="pct"/>
                  <w:tcBorders>
                    <w:tl2br w:val="nil"/>
                    <w:tr2bl w:val="nil"/>
                  </w:tcBorders>
                  <w:noWrap w:val="0"/>
                  <w:vAlign w:val="center"/>
                </w:tcPr>
                <w:p w14:paraId="1BE6A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val="0"/>
                      <w:bCs w:val="0"/>
                      <w:color w:val="auto"/>
                      <w:sz w:val="21"/>
                      <w:szCs w:val="21"/>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颗粒物</w:t>
                  </w:r>
                </w:p>
              </w:tc>
            </w:tr>
            <w:tr w14:paraId="78C3B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tcBorders>
                    <w:tl2br w:val="nil"/>
                    <w:tr2bl w:val="nil"/>
                  </w:tcBorders>
                  <w:noWrap w:val="0"/>
                  <w:vAlign w:val="center"/>
                </w:tcPr>
                <w:p w14:paraId="54DE7A3F">
                  <w:pPr>
                    <w:pStyle w:val="4"/>
                    <w:keepNext w:val="0"/>
                    <w:pageBreakBefore w:val="0"/>
                    <w:widowControl w:val="0"/>
                    <w:numPr>
                      <w:ilvl w:val="0"/>
                      <w:numId w:val="0"/>
                    </w:numPr>
                    <w:tabs>
                      <w:tab w:val="left" w:pos="851"/>
                    </w:tabs>
                    <w:kinsoku/>
                    <w:wordWrap/>
                    <w:overflowPunct/>
                    <w:topLinePunct w:val="0"/>
                    <w:autoSpaceDE/>
                    <w:autoSpaceDN/>
                    <w:bidi w:val="0"/>
                    <w:adjustRightInd/>
                    <w:snapToGrid/>
                    <w:spacing w:before="0" w:after="0" w:line="240" w:lineRule="auto"/>
                    <w:ind w:leftChars="0"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废水</w:t>
                  </w:r>
                </w:p>
              </w:tc>
              <w:tc>
                <w:tcPr>
                  <w:tcW w:w="947" w:type="pct"/>
                  <w:tcBorders>
                    <w:tl2br w:val="nil"/>
                    <w:tr2bl w:val="nil"/>
                  </w:tcBorders>
                  <w:noWrap w:val="0"/>
                  <w:vAlign w:val="center"/>
                </w:tcPr>
                <w:p w14:paraId="3582C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ascii="Times New Roman" w:hAnsi="Times New Roman" w:cs="Times New Roman"/>
                      <w:b w:val="0"/>
                      <w:bCs w:val="0"/>
                      <w:snapToGrid w:val="0"/>
                      <w:color w:val="auto"/>
                      <w:sz w:val="21"/>
                      <w:szCs w:val="21"/>
                      <w:highlight w:val="none"/>
                      <w:vertAlign w:val="baseline"/>
                      <w:lang w:val="en-US" w:eastAsia="zh-CN"/>
                    </w:rPr>
                    <w:t>生活污水</w:t>
                  </w:r>
                </w:p>
              </w:tc>
              <w:tc>
                <w:tcPr>
                  <w:tcW w:w="499" w:type="pct"/>
                  <w:tcBorders>
                    <w:tl2br w:val="nil"/>
                    <w:tr2bl w:val="nil"/>
                  </w:tcBorders>
                  <w:noWrap w:val="0"/>
                  <w:vAlign w:val="center"/>
                </w:tcPr>
                <w:p w14:paraId="36DDE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sz w:val="21"/>
                      <w:szCs w:val="21"/>
                      <w:highlight w:val="none"/>
                      <w:vertAlign w:val="baseline"/>
                      <w:lang w:val="en-US" w:eastAsia="zh-CN"/>
                    </w:rPr>
                    <w:t>W</w:t>
                  </w:r>
                </w:p>
              </w:tc>
              <w:tc>
                <w:tcPr>
                  <w:tcW w:w="1159" w:type="pct"/>
                  <w:tcBorders>
                    <w:tl2br w:val="nil"/>
                    <w:tr2bl w:val="nil"/>
                  </w:tcBorders>
                  <w:noWrap w:val="0"/>
                  <w:vAlign w:val="center"/>
                </w:tcPr>
                <w:p w14:paraId="62058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cs="Times New Roman"/>
                      <w:b w:val="0"/>
                      <w:bCs w:val="0"/>
                      <w:snapToGrid w:val="0"/>
                      <w:color w:val="auto"/>
                      <w:sz w:val="21"/>
                      <w:szCs w:val="21"/>
                      <w:highlight w:val="none"/>
                      <w:vertAlign w:val="baseline"/>
                      <w:lang w:val="en-US" w:eastAsia="zh-CN"/>
                    </w:rPr>
                    <w:t>员工</w:t>
                  </w:r>
                  <w:r>
                    <w:rPr>
                      <w:rFonts w:hint="eastAsia" w:ascii="Times New Roman" w:hAnsi="Times New Roman" w:cs="Times New Roman"/>
                      <w:b w:val="0"/>
                      <w:bCs w:val="0"/>
                      <w:snapToGrid w:val="0"/>
                      <w:color w:val="auto"/>
                      <w:sz w:val="21"/>
                      <w:szCs w:val="21"/>
                      <w:highlight w:val="none"/>
                      <w:vertAlign w:val="baseline"/>
                      <w:lang w:val="en-US" w:eastAsia="zh-CN"/>
                    </w:rPr>
                    <w:t>生活</w:t>
                  </w:r>
                  <w:r>
                    <w:rPr>
                      <w:rFonts w:hint="eastAsia" w:cs="Times New Roman"/>
                      <w:b w:val="0"/>
                      <w:bCs w:val="0"/>
                      <w:snapToGrid w:val="0"/>
                      <w:color w:val="auto"/>
                      <w:sz w:val="21"/>
                      <w:szCs w:val="21"/>
                      <w:highlight w:val="none"/>
                      <w:vertAlign w:val="baseline"/>
                      <w:lang w:val="en-US" w:eastAsia="zh-CN"/>
                    </w:rPr>
                    <w:t>废水</w:t>
                  </w:r>
                </w:p>
              </w:tc>
              <w:tc>
                <w:tcPr>
                  <w:tcW w:w="2012" w:type="pct"/>
                  <w:tcBorders>
                    <w:tl2br w:val="nil"/>
                    <w:tr2bl w:val="nil"/>
                  </w:tcBorders>
                  <w:noWrap w:val="0"/>
                  <w:vAlign w:val="center"/>
                </w:tcPr>
                <w:p w14:paraId="46E21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CODcr、BOD</w:t>
                  </w:r>
                  <w:r>
                    <w:rPr>
                      <w:rFonts w:hint="default" w:ascii="Times New Roman" w:hAnsi="Times New Roman" w:eastAsia="宋体" w:cs="Times New Roman"/>
                      <w:b w:val="0"/>
                      <w:bCs w:val="0"/>
                      <w:snapToGrid w:val="0"/>
                      <w:color w:val="auto"/>
                      <w:kern w:val="2"/>
                      <w:sz w:val="21"/>
                      <w:szCs w:val="21"/>
                      <w:highlight w:val="none"/>
                      <w:vertAlign w:val="subscript"/>
                      <w:lang w:val="en-US" w:eastAsia="zh-CN" w:bidi="ar-SA"/>
                    </w:rPr>
                    <w:t>5</w:t>
                  </w: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、SS、NH</w:t>
                  </w:r>
                  <w:r>
                    <w:rPr>
                      <w:rFonts w:hint="default" w:ascii="Times New Roman" w:hAnsi="Times New Roman" w:eastAsia="宋体" w:cs="Times New Roman"/>
                      <w:b w:val="0"/>
                      <w:bCs w:val="0"/>
                      <w:snapToGrid w:val="0"/>
                      <w:color w:val="auto"/>
                      <w:kern w:val="2"/>
                      <w:sz w:val="21"/>
                      <w:szCs w:val="21"/>
                      <w:highlight w:val="none"/>
                      <w:vertAlign w:val="subscript"/>
                      <w:lang w:val="en-US" w:eastAsia="zh-CN" w:bidi="ar-SA"/>
                    </w:rPr>
                    <w:t>3</w:t>
                  </w:r>
                </w:p>
              </w:tc>
            </w:tr>
            <w:tr w14:paraId="6A4D6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1" w:type="pct"/>
                  <w:tcBorders>
                    <w:tl2br w:val="nil"/>
                    <w:tr2bl w:val="nil"/>
                  </w:tcBorders>
                  <w:noWrap w:val="0"/>
                  <w:vAlign w:val="center"/>
                </w:tcPr>
                <w:p w14:paraId="3E0F74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噪声</w:t>
                  </w:r>
                </w:p>
              </w:tc>
              <w:tc>
                <w:tcPr>
                  <w:tcW w:w="947" w:type="pct"/>
                  <w:tcBorders>
                    <w:tl2br w:val="nil"/>
                    <w:tr2bl w:val="nil"/>
                  </w:tcBorders>
                  <w:noWrap w:val="0"/>
                  <w:vAlign w:val="center"/>
                </w:tcPr>
                <w:p w14:paraId="08F6D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生产设备</w:t>
                  </w:r>
                  <w:r>
                    <w:rPr>
                      <w:rFonts w:hint="default" w:ascii="Times New Roman" w:hAnsi="Times New Roman" w:eastAsia="宋体" w:cs="Times New Roman"/>
                      <w:b w:val="0"/>
                      <w:bCs w:val="0"/>
                      <w:snapToGrid w:val="0"/>
                      <w:color w:val="auto"/>
                      <w:sz w:val="21"/>
                      <w:szCs w:val="21"/>
                      <w:highlight w:val="none"/>
                      <w:vertAlign w:val="baseline"/>
                      <w:lang w:val="en-US" w:eastAsia="zh-CN"/>
                    </w:rPr>
                    <w:t>噪声</w:t>
                  </w:r>
                </w:p>
              </w:tc>
              <w:tc>
                <w:tcPr>
                  <w:tcW w:w="499" w:type="pct"/>
                  <w:tcBorders>
                    <w:tl2br w:val="nil"/>
                    <w:tr2bl w:val="nil"/>
                  </w:tcBorders>
                  <w:noWrap w:val="0"/>
                  <w:vAlign w:val="center"/>
                </w:tcPr>
                <w:p w14:paraId="5F81A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N</w:t>
                  </w:r>
                </w:p>
              </w:tc>
              <w:tc>
                <w:tcPr>
                  <w:tcW w:w="1159" w:type="pct"/>
                  <w:tcBorders>
                    <w:tl2br w:val="nil"/>
                    <w:tr2bl w:val="nil"/>
                  </w:tcBorders>
                  <w:noWrap w:val="0"/>
                  <w:vAlign w:val="center"/>
                </w:tcPr>
                <w:p w14:paraId="0A69D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sz w:val="21"/>
                      <w:szCs w:val="21"/>
                      <w:highlight w:val="none"/>
                      <w:vertAlign w:val="baseline"/>
                      <w:lang w:val="en-US" w:eastAsia="zh-CN"/>
                    </w:rPr>
                    <w:t>生产</w:t>
                  </w:r>
                  <w:r>
                    <w:rPr>
                      <w:rFonts w:hint="default" w:ascii="Times New Roman" w:hAnsi="Times New Roman" w:cs="Times New Roman"/>
                      <w:b w:val="0"/>
                      <w:bCs w:val="0"/>
                      <w:snapToGrid w:val="0"/>
                      <w:color w:val="auto"/>
                      <w:kern w:val="2"/>
                      <w:sz w:val="21"/>
                      <w:szCs w:val="21"/>
                      <w:highlight w:val="none"/>
                      <w:vertAlign w:val="baseline"/>
                      <w:lang w:val="en-US" w:eastAsia="zh-CN" w:bidi="ar-SA"/>
                    </w:rPr>
                    <w:t>设备运行</w:t>
                  </w:r>
                  <w:r>
                    <w:rPr>
                      <w:rFonts w:hint="eastAsia" w:ascii="Times New Roman" w:hAnsi="Times New Roman" w:cs="Times New Roman"/>
                      <w:b w:val="0"/>
                      <w:bCs w:val="0"/>
                      <w:snapToGrid w:val="0"/>
                      <w:color w:val="auto"/>
                      <w:kern w:val="2"/>
                      <w:sz w:val="21"/>
                      <w:szCs w:val="21"/>
                      <w:highlight w:val="none"/>
                      <w:vertAlign w:val="baseline"/>
                      <w:lang w:val="en-US" w:eastAsia="zh-CN" w:bidi="ar-SA"/>
                    </w:rPr>
                    <w:t>过程</w:t>
                  </w:r>
                </w:p>
              </w:tc>
              <w:tc>
                <w:tcPr>
                  <w:tcW w:w="2012" w:type="pct"/>
                  <w:tcBorders>
                    <w:tl2br w:val="nil"/>
                    <w:tr2bl w:val="nil"/>
                  </w:tcBorders>
                  <w:noWrap w:val="0"/>
                  <w:vAlign w:val="center"/>
                </w:tcPr>
                <w:p w14:paraId="2BDF7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Leq（A）</w:t>
                  </w:r>
                </w:p>
              </w:tc>
            </w:tr>
            <w:tr w14:paraId="20453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restart"/>
                  <w:tcBorders>
                    <w:tl2br w:val="nil"/>
                    <w:tr2bl w:val="nil"/>
                  </w:tcBorders>
                  <w:noWrap w:val="0"/>
                  <w:vAlign w:val="center"/>
                </w:tcPr>
                <w:p w14:paraId="7EE9DC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固体废物</w:t>
                  </w:r>
                </w:p>
              </w:tc>
              <w:tc>
                <w:tcPr>
                  <w:tcW w:w="947" w:type="pct"/>
                  <w:vMerge w:val="restart"/>
                  <w:tcBorders>
                    <w:tl2br w:val="nil"/>
                    <w:tr2bl w:val="nil"/>
                  </w:tcBorders>
                  <w:noWrap w:val="0"/>
                  <w:vAlign w:val="center"/>
                </w:tcPr>
                <w:p w14:paraId="2B2E0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一般固废</w:t>
                  </w:r>
                </w:p>
              </w:tc>
              <w:tc>
                <w:tcPr>
                  <w:tcW w:w="499" w:type="pct"/>
                  <w:tcBorders>
                    <w:tl2br w:val="nil"/>
                    <w:tr2bl w:val="nil"/>
                  </w:tcBorders>
                  <w:noWrap w:val="0"/>
                  <w:vAlign w:val="center"/>
                </w:tcPr>
                <w:p w14:paraId="6890A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S</w:t>
                  </w:r>
                  <w:r>
                    <w:rPr>
                      <w:rFonts w:hint="default" w:ascii="Times New Roman" w:hAnsi="Times New Roman" w:eastAsia="宋体" w:cs="Times New Roman"/>
                      <w:b w:val="0"/>
                      <w:bCs w:val="0"/>
                      <w:snapToGrid w:val="0"/>
                      <w:color w:val="auto"/>
                      <w:sz w:val="21"/>
                      <w:szCs w:val="21"/>
                      <w:highlight w:val="none"/>
                      <w:vertAlign w:val="subscript"/>
                      <w:lang w:val="en-US" w:eastAsia="zh-CN"/>
                    </w:rPr>
                    <w:t>1</w:t>
                  </w:r>
                  <w:r>
                    <w:rPr>
                      <w:rFonts w:hint="eastAsia" w:cs="Times New Roman"/>
                      <w:b w:val="0"/>
                      <w:bCs w:val="0"/>
                      <w:snapToGrid w:val="0"/>
                      <w:color w:val="auto"/>
                      <w:sz w:val="21"/>
                      <w:szCs w:val="21"/>
                      <w:highlight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vertAlign w:val="baseline"/>
                      <w:lang w:val="en-US" w:eastAsia="zh-CN"/>
                    </w:rPr>
                    <w:t>S</w:t>
                  </w:r>
                  <w:r>
                    <w:rPr>
                      <w:rFonts w:hint="eastAsia" w:cs="Times New Roman"/>
                      <w:b w:val="0"/>
                      <w:bCs w:val="0"/>
                      <w:snapToGrid w:val="0"/>
                      <w:color w:val="auto"/>
                      <w:sz w:val="21"/>
                      <w:szCs w:val="21"/>
                      <w:highlight w:val="none"/>
                      <w:vertAlign w:val="subscript"/>
                      <w:lang w:val="en-US" w:eastAsia="zh-CN"/>
                    </w:rPr>
                    <w:t>3</w:t>
                  </w:r>
                </w:p>
              </w:tc>
              <w:tc>
                <w:tcPr>
                  <w:tcW w:w="1159" w:type="pct"/>
                  <w:tcBorders>
                    <w:tl2br w:val="nil"/>
                    <w:tr2bl w:val="nil"/>
                  </w:tcBorders>
                  <w:noWrap w:val="0"/>
                  <w:vAlign w:val="center"/>
                </w:tcPr>
                <w:p w14:paraId="1732C214">
                  <w:pPr>
                    <w:pStyle w:val="40"/>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color w:val="auto"/>
                      <w:spacing w:val="0"/>
                      <w:position w:val="0"/>
                      <w:sz w:val="21"/>
                      <w:szCs w:val="21"/>
                      <w:vertAlign w:val="baseline"/>
                      <w:lang w:val="en-US" w:eastAsia="zh-CN"/>
                    </w:rPr>
                    <w:t>混料</w:t>
                  </w:r>
                </w:p>
              </w:tc>
              <w:tc>
                <w:tcPr>
                  <w:tcW w:w="2012" w:type="pct"/>
                  <w:tcBorders>
                    <w:tl2br w:val="nil"/>
                    <w:tr2bl w:val="nil"/>
                  </w:tcBorders>
                  <w:noWrap w:val="0"/>
                  <w:vAlign w:val="center"/>
                </w:tcPr>
                <w:p w14:paraId="19B5F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eastAsia="宋体" w:cs="Times New Roman"/>
                      <w:b w:val="0"/>
                      <w:bCs w:val="0"/>
                      <w:snapToGrid w:val="0"/>
                      <w:color w:val="auto"/>
                      <w:kern w:val="2"/>
                      <w:sz w:val="21"/>
                      <w:szCs w:val="21"/>
                      <w:highlight w:val="none"/>
                      <w:vertAlign w:val="baseline"/>
                      <w:lang w:val="en-US" w:eastAsia="zh-CN" w:bidi="ar-SA"/>
                    </w:rPr>
                    <w:t>废包装袋</w:t>
                  </w:r>
                </w:p>
              </w:tc>
            </w:tr>
            <w:tr w14:paraId="22ACD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continue"/>
                  <w:tcBorders>
                    <w:tl2br w:val="nil"/>
                    <w:tr2bl w:val="nil"/>
                  </w:tcBorders>
                  <w:noWrap w:val="0"/>
                  <w:vAlign w:val="center"/>
                </w:tcPr>
                <w:p w14:paraId="25D55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47" w:type="pct"/>
                  <w:vMerge w:val="continue"/>
                  <w:tcBorders>
                    <w:tl2br w:val="nil"/>
                    <w:tr2bl w:val="nil"/>
                  </w:tcBorders>
                  <w:noWrap w:val="0"/>
                  <w:vAlign w:val="center"/>
                </w:tcPr>
                <w:p w14:paraId="73EE4C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499" w:type="pct"/>
                  <w:tcBorders>
                    <w:tl2br w:val="nil"/>
                    <w:tr2bl w:val="nil"/>
                  </w:tcBorders>
                  <w:noWrap w:val="0"/>
                  <w:vAlign w:val="center"/>
                </w:tcPr>
                <w:p w14:paraId="3799C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sz w:val="21"/>
                      <w:szCs w:val="21"/>
                      <w:highlight w:val="none"/>
                      <w:vertAlign w:val="baseline"/>
                      <w:lang w:val="en-US" w:eastAsia="zh-CN"/>
                    </w:rPr>
                    <w:t>S</w:t>
                  </w:r>
                  <w:r>
                    <w:rPr>
                      <w:rFonts w:hint="eastAsia" w:ascii="Times New Roman" w:hAnsi="Times New Roman" w:eastAsia="宋体" w:cs="Times New Roman"/>
                      <w:b w:val="0"/>
                      <w:bCs w:val="0"/>
                      <w:snapToGrid w:val="0"/>
                      <w:color w:val="auto"/>
                      <w:sz w:val="21"/>
                      <w:szCs w:val="21"/>
                      <w:highlight w:val="none"/>
                      <w:vertAlign w:val="subscript"/>
                      <w:lang w:val="en-US" w:eastAsia="zh-CN"/>
                    </w:rPr>
                    <w:t>2</w:t>
                  </w:r>
                  <w:r>
                    <w:rPr>
                      <w:rFonts w:hint="eastAsia" w:cs="Times New Roman"/>
                      <w:b w:val="0"/>
                      <w:bCs w:val="0"/>
                      <w:snapToGrid w:val="0"/>
                      <w:color w:val="auto"/>
                      <w:sz w:val="21"/>
                      <w:szCs w:val="21"/>
                      <w:highlight w:val="none"/>
                      <w:vertAlign w:val="baseline"/>
                      <w:lang w:val="en-US" w:eastAsia="zh-CN"/>
                    </w:rPr>
                    <w:t>、</w:t>
                  </w:r>
                  <w:r>
                    <w:rPr>
                      <w:rFonts w:hint="default" w:ascii="Times New Roman" w:hAnsi="Times New Roman" w:eastAsia="宋体" w:cs="Times New Roman"/>
                      <w:b w:val="0"/>
                      <w:bCs w:val="0"/>
                      <w:snapToGrid w:val="0"/>
                      <w:color w:val="auto"/>
                      <w:sz w:val="21"/>
                      <w:szCs w:val="21"/>
                      <w:highlight w:val="none"/>
                      <w:vertAlign w:val="baseline"/>
                      <w:lang w:val="en-US" w:eastAsia="zh-CN"/>
                    </w:rPr>
                    <w:t>S</w:t>
                  </w:r>
                  <w:r>
                    <w:rPr>
                      <w:rFonts w:hint="eastAsia" w:cs="Times New Roman"/>
                      <w:b w:val="0"/>
                      <w:bCs w:val="0"/>
                      <w:snapToGrid w:val="0"/>
                      <w:color w:val="auto"/>
                      <w:sz w:val="21"/>
                      <w:szCs w:val="21"/>
                      <w:highlight w:val="none"/>
                      <w:vertAlign w:val="subscript"/>
                      <w:lang w:val="en-US" w:eastAsia="zh-CN"/>
                    </w:rPr>
                    <w:t>4</w:t>
                  </w:r>
                </w:p>
              </w:tc>
              <w:tc>
                <w:tcPr>
                  <w:tcW w:w="1159" w:type="pct"/>
                  <w:tcBorders>
                    <w:tl2br w:val="nil"/>
                    <w:tr2bl w:val="nil"/>
                  </w:tcBorders>
                  <w:noWrap w:val="0"/>
                  <w:vAlign w:val="center"/>
                </w:tcPr>
                <w:p w14:paraId="2EBF76CA">
                  <w:pPr>
                    <w:pStyle w:val="40"/>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color w:val="auto"/>
                      <w:spacing w:val="0"/>
                      <w:position w:val="0"/>
                      <w:sz w:val="21"/>
                      <w:szCs w:val="21"/>
                      <w:vertAlign w:val="baseline"/>
                      <w:lang w:val="en-US" w:eastAsia="zh-CN"/>
                    </w:rPr>
                    <w:t>产品检验</w:t>
                  </w:r>
                </w:p>
              </w:tc>
              <w:tc>
                <w:tcPr>
                  <w:tcW w:w="2012" w:type="pct"/>
                  <w:tcBorders>
                    <w:tl2br w:val="nil"/>
                    <w:tr2bl w:val="nil"/>
                  </w:tcBorders>
                  <w:noWrap w:val="0"/>
                  <w:vAlign w:val="center"/>
                </w:tcPr>
                <w:p w14:paraId="5BAF9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不合格产品</w:t>
                  </w:r>
                </w:p>
              </w:tc>
            </w:tr>
            <w:tr w14:paraId="2709D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continue"/>
                  <w:tcBorders>
                    <w:tl2br w:val="nil"/>
                    <w:tr2bl w:val="nil"/>
                  </w:tcBorders>
                  <w:noWrap w:val="0"/>
                  <w:vAlign w:val="center"/>
                </w:tcPr>
                <w:p w14:paraId="264C7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947" w:type="pct"/>
                  <w:vMerge w:val="continue"/>
                  <w:tcBorders>
                    <w:tl2br w:val="nil"/>
                    <w:tr2bl w:val="nil"/>
                  </w:tcBorders>
                  <w:noWrap w:val="0"/>
                  <w:vAlign w:val="center"/>
                </w:tcPr>
                <w:p w14:paraId="1055C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499" w:type="pct"/>
                  <w:tcBorders>
                    <w:tl2br w:val="nil"/>
                    <w:tr2bl w:val="nil"/>
                  </w:tcBorders>
                  <w:noWrap w:val="0"/>
                  <w:vAlign w:val="center"/>
                </w:tcPr>
                <w:p w14:paraId="3EA1A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w:t>
                  </w:r>
                </w:p>
              </w:tc>
              <w:tc>
                <w:tcPr>
                  <w:tcW w:w="1159" w:type="pct"/>
                  <w:tcBorders>
                    <w:tl2br w:val="nil"/>
                    <w:tr2bl w:val="nil"/>
                  </w:tcBorders>
                  <w:noWrap w:val="0"/>
                  <w:vAlign w:val="center"/>
                </w:tcPr>
                <w:p w14:paraId="12192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布袋除尘器</w:t>
                  </w:r>
                </w:p>
              </w:tc>
              <w:tc>
                <w:tcPr>
                  <w:tcW w:w="2012" w:type="pct"/>
                  <w:tcBorders>
                    <w:tl2br w:val="nil"/>
                    <w:tr2bl w:val="nil"/>
                  </w:tcBorders>
                  <w:noWrap w:val="0"/>
                  <w:vAlign w:val="center"/>
                </w:tcPr>
                <w:p w14:paraId="1F85C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废布袋</w:t>
                  </w:r>
                </w:p>
              </w:tc>
            </w:tr>
            <w:tr w14:paraId="0A63D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continue"/>
                  <w:tcBorders>
                    <w:tl2br w:val="nil"/>
                    <w:tr2bl w:val="nil"/>
                  </w:tcBorders>
                  <w:noWrap w:val="0"/>
                  <w:vAlign w:val="center"/>
                </w:tcPr>
                <w:p w14:paraId="06C4A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947" w:type="pct"/>
                  <w:vMerge w:val="restart"/>
                  <w:tcBorders>
                    <w:tl2br w:val="nil"/>
                    <w:tr2bl w:val="nil"/>
                  </w:tcBorders>
                  <w:noWrap w:val="0"/>
                  <w:vAlign w:val="center"/>
                </w:tcPr>
                <w:p w14:paraId="30C7C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ascii="Times New Roman" w:hAnsi="Times New Roman" w:eastAsia="宋体" w:cs="Times New Roman"/>
                      <w:b w:val="0"/>
                      <w:bCs w:val="0"/>
                      <w:snapToGrid w:val="0"/>
                      <w:color w:val="auto"/>
                      <w:sz w:val="21"/>
                      <w:szCs w:val="21"/>
                      <w:highlight w:val="none"/>
                      <w:vertAlign w:val="baseline"/>
                      <w:lang w:val="en-US" w:eastAsia="zh-CN"/>
                    </w:rPr>
                    <w:t>危险废物</w:t>
                  </w:r>
                </w:p>
              </w:tc>
              <w:tc>
                <w:tcPr>
                  <w:tcW w:w="499" w:type="pct"/>
                  <w:tcBorders>
                    <w:tl2br w:val="nil"/>
                    <w:tr2bl w:val="nil"/>
                  </w:tcBorders>
                  <w:noWrap w:val="0"/>
                  <w:vAlign w:val="center"/>
                </w:tcPr>
                <w:p w14:paraId="73A1A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eastAsia="宋体" w:cs="Times New Roman"/>
                      <w:b w:val="0"/>
                      <w:bCs w:val="0"/>
                      <w:snapToGrid w:val="0"/>
                      <w:color w:val="auto"/>
                      <w:sz w:val="21"/>
                      <w:szCs w:val="21"/>
                      <w:highlight w:val="none"/>
                      <w:vertAlign w:val="baseline"/>
                      <w:lang w:val="en-US" w:eastAsia="zh-CN"/>
                    </w:rPr>
                    <w:t>/</w:t>
                  </w:r>
                </w:p>
              </w:tc>
              <w:tc>
                <w:tcPr>
                  <w:tcW w:w="1937" w:type="dxa"/>
                  <w:tcBorders>
                    <w:tl2br w:val="nil"/>
                    <w:tr2bl w:val="nil"/>
                  </w:tcBorders>
                  <w:noWrap w:val="0"/>
                  <w:vAlign w:val="center"/>
                </w:tcPr>
                <w:p w14:paraId="52877709">
                  <w:pPr>
                    <w:pStyle w:val="40"/>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spacing w:val="0"/>
                      <w:position w:val="0"/>
                      <w:sz w:val="21"/>
                      <w:szCs w:val="21"/>
                      <w:vertAlign w:val="baseline"/>
                      <w:lang w:val="en-US" w:eastAsia="zh-CN"/>
                    </w:rPr>
                    <w:t>活性炭吸附脱附</w:t>
                  </w:r>
                </w:p>
              </w:tc>
              <w:tc>
                <w:tcPr>
                  <w:tcW w:w="3362" w:type="dxa"/>
                  <w:tcBorders>
                    <w:tl2br w:val="nil"/>
                    <w:tr2bl w:val="nil"/>
                  </w:tcBorders>
                  <w:noWrap w:val="0"/>
                  <w:vAlign w:val="center"/>
                </w:tcPr>
                <w:p w14:paraId="2BC79ABD">
                  <w:pPr>
                    <w:pStyle w:val="40"/>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spacing w:val="0"/>
                      <w:position w:val="0"/>
                      <w:sz w:val="21"/>
                      <w:szCs w:val="21"/>
                      <w:vertAlign w:val="baseline"/>
                      <w:lang w:val="en-US" w:eastAsia="zh-CN"/>
                    </w:rPr>
                    <w:t>废活性炭</w:t>
                  </w:r>
                </w:p>
              </w:tc>
            </w:tr>
            <w:tr w14:paraId="15D0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continue"/>
                  <w:tcBorders>
                    <w:tl2br w:val="nil"/>
                    <w:tr2bl w:val="nil"/>
                  </w:tcBorders>
                  <w:noWrap w:val="0"/>
                  <w:vAlign w:val="center"/>
                </w:tcPr>
                <w:p w14:paraId="74734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47" w:type="pct"/>
                  <w:vMerge w:val="continue"/>
                  <w:tcBorders>
                    <w:tl2br w:val="nil"/>
                    <w:tr2bl w:val="nil"/>
                  </w:tcBorders>
                  <w:noWrap w:val="0"/>
                  <w:vAlign w:val="center"/>
                </w:tcPr>
                <w:p w14:paraId="422AC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499" w:type="pct"/>
                  <w:tcBorders>
                    <w:tl2br w:val="nil"/>
                    <w:tr2bl w:val="nil"/>
                  </w:tcBorders>
                  <w:noWrap w:val="0"/>
                  <w:vAlign w:val="center"/>
                </w:tcPr>
                <w:p w14:paraId="5A450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w:t>
                  </w:r>
                </w:p>
              </w:tc>
              <w:tc>
                <w:tcPr>
                  <w:tcW w:w="1937" w:type="dxa"/>
                  <w:tcBorders>
                    <w:tl2br w:val="nil"/>
                    <w:tr2bl w:val="nil"/>
                  </w:tcBorders>
                  <w:noWrap w:val="0"/>
                  <w:vAlign w:val="center"/>
                </w:tcPr>
                <w:p w14:paraId="161C6AF9">
                  <w:pPr>
                    <w:pStyle w:val="40"/>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r>
                    <w:rPr>
                      <w:rFonts w:hint="eastAsia"/>
                      <w:color w:val="auto"/>
                      <w:spacing w:val="0"/>
                      <w:position w:val="0"/>
                      <w:sz w:val="21"/>
                      <w:szCs w:val="21"/>
                      <w:vertAlign w:val="baseline"/>
                      <w:lang w:val="en-US" w:eastAsia="zh-CN"/>
                    </w:rPr>
                    <w:t>催化燃烧器</w:t>
                  </w:r>
                </w:p>
              </w:tc>
              <w:tc>
                <w:tcPr>
                  <w:tcW w:w="3362" w:type="dxa"/>
                  <w:tcBorders>
                    <w:tl2br w:val="nil"/>
                    <w:tr2bl w:val="nil"/>
                  </w:tcBorders>
                  <w:noWrap w:val="0"/>
                  <w:vAlign w:val="center"/>
                </w:tcPr>
                <w:p w14:paraId="30B3BD3E">
                  <w:pPr>
                    <w:pStyle w:val="40"/>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color w:val="auto"/>
                      <w:spacing w:val="0"/>
                      <w:position w:val="0"/>
                      <w:sz w:val="21"/>
                      <w:szCs w:val="21"/>
                      <w:vertAlign w:val="baseline"/>
                      <w:lang w:val="en-US" w:eastAsia="zh-CN"/>
                    </w:rPr>
                    <w:t>废催化剂</w:t>
                  </w:r>
                </w:p>
              </w:tc>
            </w:tr>
            <w:tr w14:paraId="676B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81" w:type="pct"/>
                  <w:vMerge w:val="continue"/>
                  <w:tcBorders>
                    <w:tl2br w:val="nil"/>
                    <w:tr2bl w:val="nil"/>
                  </w:tcBorders>
                  <w:noWrap w:val="0"/>
                  <w:vAlign w:val="center"/>
                </w:tcPr>
                <w:p w14:paraId="216EF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947" w:type="pct"/>
                  <w:vMerge w:val="continue"/>
                  <w:tcBorders>
                    <w:tl2br w:val="nil"/>
                    <w:tr2bl w:val="nil"/>
                  </w:tcBorders>
                  <w:noWrap w:val="0"/>
                  <w:vAlign w:val="center"/>
                </w:tcPr>
                <w:p w14:paraId="4C450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p>
              </w:tc>
              <w:tc>
                <w:tcPr>
                  <w:tcW w:w="499" w:type="pct"/>
                  <w:tcBorders>
                    <w:tl2br w:val="nil"/>
                    <w:tr2bl w:val="nil"/>
                  </w:tcBorders>
                  <w:noWrap w:val="0"/>
                  <w:vAlign w:val="center"/>
                </w:tcPr>
                <w:p w14:paraId="2CFC3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eastAsia="宋体" w:cs="Times New Roman"/>
                      <w:b w:val="0"/>
                      <w:bCs w:val="0"/>
                      <w:snapToGrid w:val="0"/>
                      <w:color w:val="auto"/>
                      <w:sz w:val="21"/>
                      <w:szCs w:val="21"/>
                      <w:highlight w:val="none"/>
                      <w:vertAlign w:val="baseline"/>
                      <w:lang w:val="en-US" w:eastAsia="zh-CN"/>
                    </w:rPr>
                    <w:t>/</w:t>
                  </w:r>
                </w:p>
              </w:tc>
              <w:tc>
                <w:tcPr>
                  <w:tcW w:w="1937" w:type="dxa"/>
                  <w:tcBorders>
                    <w:tl2br w:val="nil"/>
                    <w:tr2bl w:val="nil"/>
                  </w:tcBorders>
                  <w:noWrap w:val="0"/>
                  <w:vAlign w:val="center"/>
                </w:tcPr>
                <w:p w14:paraId="7C21E1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210" w:firstLineChars="100"/>
                    <w:jc w:val="left"/>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ascii="宋体" w:hAnsi="宋体" w:cs="Times New Roman"/>
                      <w:color w:val="auto"/>
                      <w:spacing w:val="0"/>
                      <w:kern w:val="2"/>
                      <w:position w:val="0"/>
                      <w:sz w:val="21"/>
                      <w:szCs w:val="21"/>
                      <w:vertAlign w:val="baseline"/>
                      <w:lang w:val="en-US" w:eastAsia="zh-CN" w:bidi="ar-SA"/>
                    </w:rPr>
                    <w:t>产品生产线</w:t>
                  </w:r>
                </w:p>
              </w:tc>
              <w:tc>
                <w:tcPr>
                  <w:tcW w:w="3362" w:type="dxa"/>
                  <w:tcBorders>
                    <w:tl2br w:val="nil"/>
                    <w:tr2bl w:val="nil"/>
                  </w:tcBorders>
                  <w:noWrap w:val="0"/>
                  <w:vAlign w:val="center"/>
                </w:tcPr>
                <w:p w14:paraId="7A5F5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sz w:val="21"/>
                      <w:szCs w:val="21"/>
                      <w:highlight w:val="none"/>
                      <w:vertAlign w:val="baseline"/>
                      <w:lang w:val="en-US" w:eastAsia="zh-CN"/>
                    </w:rPr>
                  </w:pPr>
                  <w:r>
                    <w:rPr>
                      <w:rFonts w:hint="eastAsia" w:ascii="宋体" w:hAnsi="宋体" w:eastAsia="宋体" w:cs="Times New Roman"/>
                      <w:color w:val="auto"/>
                      <w:spacing w:val="0"/>
                      <w:kern w:val="2"/>
                      <w:position w:val="0"/>
                      <w:sz w:val="21"/>
                      <w:szCs w:val="21"/>
                      <w:vertAlign w:val="baseline"/>
                      <w:lang w:val="en-US" w:eastAsia="zh-CN" w:bidi="ar-SA"/>
                    </w:rPr>
                    <w:t>废矿物油及废油桶</w:t>
                  </w:r>
                </w:p>
              </w:tc>
            </w:tr>
            <w:tr w14:paraId="2E6AA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tcBorders>
                    <w:tl2br w:val="nil"/>
                    <w:tr2bl w:val="nil"/>
                  </w:tcBorders>
                  <w:noWrap w:val="0"/>
                  <w:vAlign w:val="center"/>
                </w:tcPr>
                <w:p w14:paraId="3841C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sz w:val="21"/>
                      <w:szCs w:val="21"/>
                      <w:highlight w:val="none"/>
                      <w:vertAlign w:val="baseline"/>
                      <w:lang w:val="en-US" w:eastAsia="zh-CN"/>
                    </w:rPr>
                  </w:pPr>
                </w:p>
              </w:tc>
              <w:tc>
                <w:tcPr>
                  <w:tcW w:w="947" w:type="pct"/>
                  <w:tcBorders>
                    <w:tl2br w:val="nil"/>
                    <w:tr2bl w:val="nil"/>
                  </w:tcBorders>
                  <w:noWrap w:val="0"/>
                  <w:vAlign w:val="center"/>
                </w:tcPr>
                <w:p w14:paraId="78E83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sz w:val="21"/>
                      <w:szCs w:val="21"/>
                      <w:highlight w:val="none"/>
                      <w:vertAlign w:val="baseline"/>
                      <w:lang w:val="en-US" w:eastAsia="zh-CN"/>
                    </w:rPr>
                    <w:t>生活垃圾</w:t>
                  </w:r>
                </w:p>
              </w:tc>
              <w:tc>
                <w:tcPr>
                  <w:tcW w:w="499" w:type="pct"/>
                  <w:tcBorders>
                    <w:tl2br w:val="nil"/>
                    <w:tr2bl w:val="nil"/>
                  </w:tcBorders>
                  <w:noWrap w:val="0"/>
                  <w:vAlign w:val="center"/>
                </w:tcPr>
                <w:p w14:paraId="10AA94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eastAsia" w:eastAsia="宋体" w:cs="Times New Roman"/>
                      <w:b w:val="0"/>
                      <w:bCs w:val="0"/>
                      <w:snapToGrid w:val="0"/>
                      <w:color w:val="auto"/>
                      <w:sz w:val="21"/>
                      <w:szCs w:val="21"/>
                      <w:highlight w:val="none"/>
                      <w:vertAlign w:val="baseline"/>
                      <w:lang w:val="en-US" w:eastAsia="zh-CN"/>
                    </w:rPr>
                    <w:t>/</w:t>
                  </w:r>
                </w:p>
              </w:tc>
              <w:tc>
                <w:tcPr>
                  <w:tcW w:w="1159" w:type="pct"/>
                  <w:tcBorders>
                    <w:tl2br w:val="nil"/>
                    <w:tr2bl w:val="nil"/>
                  </w:tcBorders>
                  <w:noWrap w:val="0"/>
                  <w:vAlign w:val="center"/>
                </w:tcPr>
                <w:p w14:paraId="531F5C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cs="Times New Roman"/>
                      <w:b w:val="0"/>
                      <w:bCs w:val="0"/>
                      <w:snapToGrid w:val="0"/>
                      <w:color w:val="auto"/>
                      <w:sz w:val="21"/>
                      <w:szCs w:val="21"/>
                      <w:highlight w:val="none"/>
                      <w:vertAlign w:val="baseline"/>
                      <w:lang w:val="en-US" w:eastAsia="zh-CN"/>
                    </w:rPr>
                    <w:t>办公人员</w:t>
                  </w:r>
                </w:p>
              </w:tc>
              <w:tc>
                <w:tcPr>
                  <w:tcW w:w="2012" w:type="pct"/>
                  <w:tcBorders>
                    <w:tl2br w:val="nil"/>
                    <w:tr2bl w:val="nil"/>
                  </w:tcBorders>
                  <w:noWrap w:val="0"/>
                  <w:vAlign w:val="center"/>
                </w:tcPr>
                <w:p w14:paraId="6FB91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snapToGrid w:val="0"/>
                      <w:color w:val="auto"/>
                      <w:kern w:val="2"/>
                      <w:sz w:val="21"/>
                      <w:szCs w:val="21"/>
                      <w:highlight w:val="none"/>
                      <w:vertAlign w:val="baseline"/>
                      <w:lang w:val="en-US" w:eastAsia="zh-CN" w:bidi="ar-SA"/>
                    </w:rPr>
                    <w:t>塑料袋、餐巾纸等</w:t>
                  </w:r>
                </w:p>
              </w:tc>
            </w:tr>
          </w:tbl>
          <w:p w14:paraId="2CE6D8A9">
            <w:pPr>
              <w:pStyle w:val="40"/>
              <w:rPr>
                <w:rFonts w:hint="default"/>
                <w:color w:val="0000FF"/>
                <w:spacing w:val="0"/>
                <w:position w:val="0"/>
                <w:sz w:val="21"/>
                <w:szCs w:val="21"/>
                <w:lang w:val="en-US" w:eastAsia="zh-CN"/>
              </w:rPr>
            </w:pPr>
          </w:p>
        </w:tc>
      </w:tr>
      <w:tr w14:paraId="1686A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4" w:hRule="atLeast"/>
          <w:jc w:val="center"/>
        </w:trPr>
        <w:tc>
          <w:tcPr>
            <w:tcW w:w="253" w:type="pct"/>
            <w:vAlign w:val="center"/>
          </w:tcPr>
          <w:p w14:paraId="37A5CA98">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2D00A629">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41FC38E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A81DDC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25B3D80">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EDE896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3477B2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63B4F4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BB2E69C">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293E819">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E4F42C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540F82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560AF2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751D37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C5F555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EB054D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r>
              <w:rPr>
                <w:rFonts w:ascii="Times New Roman" w:hAnsi="Times New Roman"/>
                <w:bCs/>
                <w:color w:val="auto"/>
                <w:spacing w:val="0"/>
                <w:kern w:val="2"/>
                <w:position w:val="0"/>
                <w:sz w:val="21"/>
                <w:szCs w:val="21"/>
              </w:rPr>
              <w:t>与项目有关的原有环境污染问题</w:t>
            </w:r>
          </w:p>
          <w:p w14:paraId="26AB20B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E0D1DD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1A68820">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75AE33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07A5D89">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A5548D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C391B9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52C902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6CE800F">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B0B5AD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6205D25">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1E65A5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3EA59C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A23420F">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98FFA1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AB8453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296EEA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442B0E5">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5189B6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13C4C3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3F4BC8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3736E1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86E4CC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F6A9F1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773719F">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CBA0BB5">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54746A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B7DE7F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F7BF61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80A7E7A">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8F8E5A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19FE63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7004B1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B22BE3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252719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90C5CB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r>
              <w:rPr>
                <w:rFonts w:ascii="Times New Roman" w:hAnsi="Times New Roman"/>
                <w:bCs/>
                <w:color w:val="auto"/>
                <w:spacing w:val="0"/>
                <w:kern w:val="2"/>
                <w:position w:val="0"/>
                <w:sz w:val="21"/>
                <w:szCs w:val="21"/>
              </w:rPr>
              <w:t>与项目有关的原有环境污染问题</w:t>
            </w:r>
          </w:p>
          <w:p w14:paraId="26FD3860">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73E453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29EF1B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977AD2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976BE3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3F6BA5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3032E7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9A1E34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282860C">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D627F9F">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D561899">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BB92B3A">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287077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B3087B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36C56A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3D10FD9">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2F8E3F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8902BD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EAD7C70">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80B18BD">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74ED56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7112C0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5E0CB6C">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71ECF3F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A8141B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6F2B1B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BE8C4C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98973E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139513D">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D82E07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2DD9DF6">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F072568">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2A4DBEB">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DCE0D6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A591127">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928AEE3">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5ED30E1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99519D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0BE84EC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2DEA7250">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A8EECF4">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4892380E">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1EC63D4F">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E03FB72">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6721BC99">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r>
              <w:rPr>
                <w:rFonts w:ascii="Times New Roman" w:hAnsi="Times New Roman"/>
                <w:bCs/>
                <w:color w:val="auto"/>
                <w:spacing w:val="0"/>
                <w:kern w:val="2"/>
                <w:position w:val="0"/>
                <w:sz w:val="21"/>
                <w:szCs w:val="21"/>
              </w:rPr>
              <w:t>与项目有关的原有环境污染问题</w:t>
            </w:r>
          </w:p>
          <w:p w14:paraId="75B4BAD1">
            <w:pPr>
              <w:pStyle w:val="25"/>
              <w:adjustRightInd w:val="0"/>
              <w:snapToGrid w:val="0"/>
              <w:spacing w:before="0" w:beforeAutospacing="0" w:after="0" w:afterAutospacing="0" w:line="240" w:lineRule="auto"/>
              <w:ind w:firstLine="0" w:firstLineChars="0"/>
              <w:jc w:val="center"/>
              <w:rPr>
                <w:rFonts w:ascii="Times New Roman" w:hAnsi="Times New Roman"/>
                <w:bCs/>
                <w:color w:val="auto"/>
                <w:spacing w:val="0"/>
                <w:kern w:val="2"/>
                <w:position w:val="0"/>
                <w:sz w:val="21"/>
                <w:szCs w:val="21"/>
              </w:rPr>
            </w:pPr>
          </w:p>
          <w:p w14:paraId="3D9D3992">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4027223D">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022D9423">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4EEF1A23">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11456124">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0DF44486">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04D02534">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76FB598C">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p w14:paraId="012A9719">
            <w:pPr>
              <w:pStyle w:val="25"/>
              <w:adjustRightInd w:val="0"/>
              <w:snapToGrid w:val="0"/>
              <w:spacing w:before="0" w:beforeAutospacing="0" w:after="0" w:afterAutospacing="0" w:line="240" w:lineRule="auto"/>
              <w:ind w:firstLine="0" w:firstLineChars="0"/>
              <w:jc w:val="center"/>
              <w:rPr>
                <w:rFonts w:ascii="Times New Roman" w:hAnsi="Times New Roman"/>
                <w:bCs/>
                <w:color w:val="0000FF"/>
                <w:spacing w:val="0"/>
                <w:kern w:val="2"/>
                <w:position w:val="0"/>
                <w:sz w:val="21"/>
                <w:szCs w:val="21"/>
              </w:rPr>
            </w:pPr>
          </w:p>
        </w:tc>
        <w:tc>
          <w:tcPr>
            <w:tcW w:w="4746" w:type="pct"/>
            <w:vAlign w:val="top"/>
          </w:tcPr>
          <w:p w14:paraId="6FE4405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rFonts w:hint="eastAsia"/>
                <w:b/>
                <w:bCs/>
                <w:color w:val="auto"/>
                <w:spacing w:val="0"/>
                <w:position w:val="0"/>
                <w:sz w:val="21"/>
                <w:szCs w:val="21"/>
                <w:lang w:val="en-US" w:eastAsia="zh-CN"/>
              </w:rPr>
            </w:pPr>
            <w:r>
              <w:rPr>
                <w:rFonts w:hint="eastAsia"/>
                <w:b/>
                <w:bCs/>
                <w:color w:val="auto"/>
                <w:spacing w:val="0"/>
                <w:position w:val="0"/>
                <w:sz w:val="21"/>
                <w:szCs w:val="21"/>
                <w:lang w:val="en-US" w:eastAsia="zh-CN"/>
              </w:rPr>
              <w:t>1原项目情况</w:t>
            </w:r>
          </w:p>
          <w:p w14:paraId="7621E040">
            <w:pPr>
              <w:pStyle w:val="2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cs="Times New Roman"/>
                <w:b w:val="0"/>
                <w:bCs/>
                <w:color w:val="auto"/>
                <w:spacing w:val="0"/>
                <w:position w:val="0"/>
                <w:sz w:val="21"/>
                <w:szCs w:val="21"/>
                <w:lang w:val="en-US" w:eastAsia="zh-CN"/>
              </w:rPr>
            </w:pPr>
            <w:r>
              <w:rPr>
                <w:rFonts w:hint="default"/>
                <w:color w:val="auto"/>
                <w:spacing w:val="0"/>
                <w:position w:val="0"/>
                <w:sz w:val="21"/>
                <w:szCs w:val="21"/>
                <w:lang w:val="en-US" w:eastAsia="zh-CN"/>
              </w:rPr>
              <w:t>奎屯秦丰环保科技有限公司</w:t>
            </w:r>
            <w:r>
              <w:rPr>
                <w:rFonts w:hint="eastAsia"/>
                <w:color w:val="auto"/>
                <w:spacing w:val="0"/>
                <w:position w:val="0"/>
                <w:sz w:val="21"/>
                <w:szCs w:val="21"/>
                <w:lang w:val="en-US" w:eastAsia="zh-CN"/>
              </w:rPr>
              <w:t>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天北经济技术开发区（北区）支一路401号</w:t>
            </w:r>
            <w:r>
              <w:rPr>
                <w:rFonts w:hint="eastAsia" w:cs="Times New Roman"/>
                <w:b w:val="0"/>
                <w:bCs/>
                <w:color w:val="auto"/>
                <w:spacing w:val="0"/>
                <w:position w:val="0"/>
                <w:sz w:val="21"/>
                <w:szCs w:val="21"/>
                <w:lang w:val="en-US" w:eastAsia="zh-CN"/>
              </w:rPr>
              <w:t>，主要从事玻璃钢制品制造（消防池、化粪池）。</w:t>
            </w:r>
          </w:p>
          <w:p w14:paraId="12DC92E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s="Times New Roman"/>
                <w:b w:val="0"/>
                <w:bCs/>
                <w:color w:val="auto"/>
                <w:spacing w:val="0"/>
                <w:position w:val="0"/>
                <w:sz w:val="21"/>
                <w:szCs w:val="21"/>
                <w:lang w:val="en-US" w:eastAsia="zh-CN"/>
              </w:rPr>
            </w:pPr>
            <w:r>
              <w:rPr>
                <w:rFonts w:hint="eastAsia" w:ascii="Times New Roman" w:hAnsi="Times New Roman" w:eastAsia="宋体" w:cs="Times New Roman"/>
                <w:color w:val="auto"/>
                <w:spacing w:val="0"/>
                <w:kern w:val="2"/>
                <w:position w:val="0"/>
                <w:sz w:val="21"/>
                <w:szCs w:val="21"/>
                <w:lang w:val="en-US" w:eastAsia="zh-CN" w:bidi="ar-SA"/>
              </w:rPr>
              <w:t>企业于2014年委托新疆维吾尔自治区建筑材料工业设计院编制了《奎屯秦丰环保科技有限公司生产玻璃钢消防池1万立方米、化粪池1万立方米生产线项目环境影响报告表</w:t>
            </w:r>
            <w:r>
              <w:rPr>
                <w:rFonts w:hint="eastAsia" w:cs="Times New Roman"/>
                <w:b w:val="0"/>
                <w:bCs/>
                <w:color w:val="auto"/>
                <w:spacing w:val="0"/>
                <w:position w:val="0"/>
                <w:sz w:val="21"/>
                <w:szCs w:val="21"/>
                <w:lang w:val="en-US" w:eastAsia="zh-CN"/>
              </w:rPr>
              <w:t>》，并于同年由第七师环境保护局批复；企业于2019年</w:t>
            </w:r>
            <w:r>
              <w:rPr>
                <w:rFonts w:hint="eastAsia" w:ascii="Times New Roman" w:hAnsi="Times New Roman" w:eastAsia="宋体" w:cs="Times New Roman"/>
                <w:color w:val="auto"/>
                <w:spacing w:val="0"/>
                <w:kern w:val="2"/>
                <w:position w:val="0"/>
                <w:sz w:val="21"/>
                <w:szCs w:val="21"/>
                <w:lang w:val="en-US" w:eastAsia="zh-CN" w:bidi="ar-SA"/>
              </w:rPr>
              <w:t>委托新疆天辰环境技术有限公司完成《奎屯秦丰环保科技有限公司生产玻璃钢消防池1万立方米、化粪池1万立方</w:t>
            </w:r>
            <w:r>
              <w:rPr>
                <w:rFonts w:hint="eastAsia" w:cs="Times New Roman"/>
                <w:b w:val="0"/>
                <w:bCs/>
                <w:color w:val="auto"/>
                <w:spacing w:val="0"/>
                <w:position w:val="0"/>
                <w:sz w:val="21"/>
                <w:szCs w:val="21"/>
                <w:lang w:val="en-US" w:eastAsia="zh-CN"/>
              </w:rPr>
              <w:t>米生产线项目竣工环境保护验收监测报告表》，专家验收意见中验收监测情况为：周界外浓度非甲烷总烃≤4.0mg/m</w:t>
            </w:r>
            <w:r>
              <w:rPr>
                <w:rFonts w:hint="eastAsia" w:cs="Times New Roman"/>
                <w:b w:val="0"/>
                <w:bCs/>
                <w:color w:val="auto"/>
                <w:spacing w:val="0"/>
                <w:position w:val="0"/>
                <w:sz w:val="21"/>
                <w:szCs w:val="21"/>
                <w:vertAlign w:val="superscript"/>
                <w:lang w:val="en-US" w:eastAsia="zh-CN"/>
              </w:rPr>
              <w:t>3</w:t>
            </w:r>
            <w:r>
              <w:rPr>
                <w:rFonts w:hint="eastAsia" w:cs="Times New Roman"/>
                <w:b w:val="0"/>
                <w:bCs/>
                <w:color w:val="auto"/>
                <w:spacing w:val="0"/>
                <w:position w:val="0"/>
                <w:sz w:val="21"/>
                <w:szCs w:val="21"/>
                <w:lang w:val="en-US" w:eastAsia="zh-CN"/>
              </w:rPr>
              <w:t>，详见附件8；单位于2020年4月13日取得固定污染源排污登记回执，登记编号为9165400309194935XD001W，详见附件9；原有生产线生产规模为年产玻璃钢消防池1500m</w:t>
            </w:r>
            <w:r>
              <w:rPr>
                <w:rFonts w:hint="eastAsia" w:cs="Times New Roman"/>
                <w:b w:val="0"/>
                <w:bCs/>
                <w:color w:val="auto"/>
                <w:spacing w:val="0"/>
                <w:position w:val="0"/>
                <w:sz w:val="21"/>
                <w:szCs w:val="21"/>
                <w:vertAlign w:val="superscript"/>
                <w:lang w:val="en-US" w:eastAsia="zh-CN"/>
              </w:rPr>
              <w:t>3</w:t>
            </w:r>
            <w:r>
              <w:rPr>
                <w:rFonts w:hint="eastAsia" w:cs="Times New Roman"/>
                <w:b w:val="0"/>
                <w:bCs/>
                <w:color w:val="auto"/>
                <w:spacing w:val="0"/>
                <w:position w:val="0"/>
                <w:sz w:val="21"/>
                <w:szCs w:val="21"/>
                <w:lang w:val="en-US" w:eastAsia="zh-CN"/>
              </w:rPr>
              <w:t>、玻璃钢化粪池3000m</w:t>
            </w:r>
            <w:r>
              <w:rPr>
                <w:rFonts w:hint="eastAsia" w:cs="Times New Roman"/>
                <w:b w:val="0"/>
                <w:bCs/>
                <w:color w:val="auto"/>
                <w:spacing w:val="0"/>
                <w:position w:val="0"/>
                <w:sz w:val="21"/>
                <w:szCs w:val="21"/>
                <w:vertAlign w:val="superscript"/>
                <w:lang w:val="en-US" w:eastAsia="zh-CN"/>
              </w:rPr>
              <w:t>3</w:t>
            </w:r>
            <w:r>
              <w:rPr>
                <w:rFonts w:hint="eastAsia" w:cs="Times New Roman"/>
                <w:b w:val="0"/>
                <w:bCs/>
                <w:color w:val="auto"/>
                <w:spacing w:val="0"/>
                <w:position w:val="0"/>
                <w:sz w:val="21"/>
                <w:szCs w:val="21"/>
                <w:lang w:val="en-US" w:eastAsia="zh-CN"/>
              </w:rPr>
              <w:t>。</w:t>
            </w:r>
          </w:p>
          <w:p w14:paraId="7DE348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val="0"/>
                <w:bCs/>
                <w:color w:val="auto"/>
                <w:spacing w:val="0"/>
                <w:kern w:val="2"/>
                <w:position w:val="0"/>
                <w:sz w:val="21"/>
                <w:szCs w:val="21"/>
                <w:lang w:val="en-US" w:eastAsia="zh-CN" w:bidi="ar-SA"/>
              </w:rPr>
            </w:pPr>
            <w:r>
              <w:rPr>
                <w:rFonts w:hint="eastAsia" w:ascii="Times New Roman" w:hAnsi="Times New Roman" w:eastAsia="宋体" w:cs="Times New Roman"/>
                <w:b w:val="0"/>
                <w:bCs/>
                <w:color w:val="auto"/>
                <w:spacing w:val="0"/>
                <w:kern w:val="2"/>
                <w:position w:val="0"/>
                <w:sz w:val="21"/>
                <w:szCs w:val="21"/>
                <w:lang w:val="en-US" w:eastAsia="zh-CN" w:bidi="ar-SA"/>
              </w:rPr>
              <w:t>本项目原辅料及产品变化情况：本项目原有玻璃钢生产线正常运行，生产原料为环氧树脂、玻璃纤维布、促进剂、固化剂等，本项目扩建生产线原料为PP、PVC、PE新料；本项目扩建生产线产品为PP、PVC管件和PE打包带。具体变化情况如下表：</w:t>
            </w:r>
          </w:p>
          <w:p w14:paraId="57E46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2-</w:t>
            </w:r>
            <w:r>
              <w:rPr>
                <w:rFonts w:hint="eastAsia" w:cs="Times New Roman"/>
                <w:b/>
                <w:snapToGrid w:val="0"/>
                <w:color w:val="auto"/>
                <w:spacing w:val="0"/>
                <w:kern w:val="0"/>
                <w:position w:val="0"/>
                <w:sz w:val="21"/>
                <w:szCs w:val="21"/>
                <w:lang w:val="en-US" w:eastAsia="zh-CN"/>
              </w:rPr>
              <w:t>10</w:t>
            </w:r>
            <w:r>
              <w:rPr>
                <w:rFonts w:hint="eastAsia" w:ascii="Times New Roman" w:hAnsi="Times New Roman" w:eastAsia="宋体" w:cs="Times New Roman"/>
                <w:b/>
                <w:snapToGrid w:val="0"/>
                <w:color w:val="auto"/>
                <w:spacing w:val="0"/>
                <w:kern w:val="0"/>
                <w:position w:val="0"/>
                <w:sz w:val="21"/>
                <w:szCs w:val="21"/>
                <w:lang w:val="en-US" w:eastAsia="zh-CN"/>
              </w:rPr>
              <w:t xml:space="preserve"> </w:t>
            </w:r>
            <w:r>
              <w:rPr>
                <w:rFonts w:hint="eastAsia" w:ascii="Times New Roman" w:hAnsi="Times New Roman" w:eastAsia="宋体" w:cs="Times New Roman"/>
                <w:b/>
                <w:bCs w:val="0"/>
                <w:snapToGrid w:val="0"/>
                <w:color w:val="auto"/>
                <w:spacing w:val="0"/>
                <w:kern w:val="0"/>
                <w:position w:val="0"/>
                <w:sz w:val="21"/>
                <w:szCs w:val="21"/>
                <w:lang w:val="en-US" w:eastAsia="zh-CN"/>
              </w:rPr>
              <w:t xml:space="preserve">  </w:t>
            </w:r>
            <w:r>
              <w:rPr>
                <w:rFonts w:hint="eastAsia" w:ascii="Times New Roman" w:hAnsi="Times New Roman" w:eastAsia="宋体" w:cs="Times New Roman"/>
                <w:b/>
                <w:bCs w:val="0"/>
                <w:color w:val="auto"/>
                <w:spacing w:val="0"/>
                <w:kern w:val="2"/>
                <w:position w:val="0"/>
                <w:sz w:val="21"/>
                <w:szCs w:val="21"/>
                <w:lang w:val="en-US" w:eastAsia="zh-CN" w:bidi="ar-SA"/>
              </w:rPr>
              <w:t>项目原辅料及产品变化情况</w:t>
            </w:r>
            <w:r>
              <w:rPr>
                <w:rFonts w:hint="eastAsia" w:cs="Times New Roman"/>
                <w:b/>
                <w:bCs w:val="0"/>
                <w:color w:val="auto"/>
                <w:spacing w:val="0"/>
                <w:kern w:val="2"/>
                <w:position w:val="0"/>
                <w:sz w:val="21"/>
                <w:szCs w:val="21"/>
                <w:lang w:val="en-US" w:eastAsia="zh-CN" w:bidi="ar-SA"/>
              </w:rPr>
              <w:t>一览表</w:t>
            </w:r>
          </w:p>
          <w:tbl>
            <w:tblPr>
              <w:tblStyle w:val="31"/>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089"/>
              <w:gridCol w:w="2089"/>
              <w:gridCol w:w="2089"/>
            </w:tblGrid>
            <w:tr w14:paraId="2CD1F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5DA60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p>
              </w:tc>
              <w:tc>
                <w:tcPr>
                  <w:tcW w:w="1250" w:type="pct"/>
                  <w:tcBorders>
                    <w:tl2br w:val="nil"/>
                    <w:tr2bl w:val="nil"/>
                  </w:tcBorders>
                  <w:vAlign w:val="center"/>
                </w:tcPr>
                <w:p w14:paraId="61677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项目扩建情况</w:t>
                  </w:r>
                </w:p>
              </w:tc>
              <w:tc>
                <w:tcPr>
                  <w:tcW w:w="1250" w:type="pct"/>
                  <w:tcBorders>
                    <w:tl2br w:val="nil"/>
                    <w:tr2bl w:val="nil"/>
                  </w:tcBorders>
                  <w:vAlign w:val="center"/>
                </w:tcPr>
                <w:p w14:paraId="622DD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项目原有情况</w:t>
                  </w:r>
                </w:p>
              </w:tc>
              <w:tc>
                <w:tcPr>
                  <w:tcW w:w="1250" w:type="pct"/>
                  <w:tcBorders>
                    <w:tl2br w:val="nil"/>
                    <w:tr2bl w:val="nil"/>
                  </w:tcBorders>
                  <w:vAlign w:val="center"/>
                </w:tcPr>
                <w:p w14:paraId="26B32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备注</w:t>
                  </w:r>
                </w:p>
              </w:tc>
            </w:tr>
            <w:tr w14:paraId="18CBE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57DE1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主要原料</w:t>
                  </w:r>
                </w:p>
              </w:tc>
              <w:tc>
                <w:tcPr>
                  <w:tcW w:w="1250" w:type="pct"/>
                  <w:tcBorders>
                    <w:tl2br w:val="nil"/>
                    <w:tr2bl w:val="nil"/>
                  </w:tcBorders>
                  <w:vAlign w:val="center"/>
                </w:tcPr>
                <w:p w14:paraId="04E55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PP、PVC、PE新料等</w:t>
                  </w:r>
                </w:p>
              </w:tc>
              <w:tc>
                <w:tcPr>
                  <w:tcW w:w="1250" w:type="pct"/>
                  <w:tcBorders>
                    <w:tl2br w:val="nil"/>
                    <w:tr2bl w:val="nil"/>
                  </w:tcBorders>
                  <w:vAlign w:val="center"/>
                </w:tcPr>
                <w:p w14:paraId="68F7A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cs="Times New Roman"/>
                      <w:b w:val="0"/>
                      <w:bCs/>
                      <w:color w:val="auto"/>
                      <w:spacing w:val="0"/>
                      <w:position w:val="0"/>
                      <w:sz w:val="21"/>
                      <w:szCs w:val="21"/>
                      <w:lang w:val="en-US" w:eastAsia="zh-CN"/>
                    </w:rPr>
                    <w:t>环氧树脂、玻璃纤维布、促进剂、固化剂等</w:t>
                  </w:r>
                </w:p>
              </w:tc>
              <w:tc>
                <w:tcPr>
                  <w:tcW w:w="1250" w:type="pct"/>
                  <w:vMerge w:val="restart"/>
                  <w:tcBorders>
                    <w:tl2br w:val="nil"/>
                    <w:tr2bl w:val="nil"/>
                  </w:tcBorders>
                  <w:vAlign w:val="center"/>
                </w:tcPr>
                <w:p w14:paraId="774E0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sz w:val="21"/>
                      <w:vertAlign w:val="baseline"/>
                      <w:lang w:val="en-US" w:eastAsia="zh-CN"/>
                    </w:rPr>
                    <w:t>项目原有生产线正常运行</w:t>
                  </w:r>
                </w:p>
              </w:tc>
            </w:tr>
            <w:tr w14:paraId="0BA7E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2EE6B9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产品</w:t>
                  </w:r>
                </w:p>
              </w:tc>
              <w:tc>
                <w:tcPr>
                  <w:tcW w:w="1250" w:type="pct"/>
                  <w:tcBorders>
                    <w:tl2br w:val="nil"/>
                    <w:tr2bl w:val="nil"/>
                  </w:tcBorders>
                  <w:vAlign w:val="center"/>
                </w:tcPr>
                <w:p w14:paraId="49150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PP、PVC管件和PE打包带</w:t>
                  </w:r>
                </w:p>
              </w:tc>
              <w:tc>
                <w:tcPr>
                  <w:tcW w:w="1250" w:type="pct"/>
                  <w:tcBorders>
                    <w:tl2br w:val="nil"/>
                    <w:tr2bl w:val="nil"/>
                  </w:tcBorders>
                  <w:vAlign w:val="center"/>
                </w:tcPr>
                <w:p w14:paraId="19F24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cs="Times New Roman"/>
                      <w:b w:val="0"/>
                      <w:bCs/>
                      <w:color w:val="auto"/>
                      <w:spacing w:val="0"/>
                      <w:position w:val="0"/>
                      <w:sz w:val="21"/>
                      <w:szCs w:val="21"/>
                      <w:lang w:val="en-US" w:eastAsia="zh-CN"/>
                    </w:rPr>
                    <w:t>玻璃钢消防池、玻璃钢化粪池</w:t>
                  </w:r>
                </w:p>
              </w:tc>
              <w:tc>
                <w:tcPr>
                  <w:tcW w:w="1250" w:type="pct"/>
                  <w:vMerge w:val="continue"/>
                  <w:tcBorders>
                    <w:tl2br w:val="nil"/>
                    <w:tr2bl w:val="nil"/>
                  </w:tcBorders>
                  <w:vAlign w:val="center"/>
                </w:tcPr>
                <w:p w14:paraId="4BA06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p>
              </w:tc>
            </w:tr>
            <w:tr w14:paraId="65F2F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39112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总计年产量</w:t>
                  </w:r>
                </w:p>
              </w:tc>
              <w:tc>
                <w:tcPr>
                  <w:tcW w:w="1250" w:type="pct"/>
                  <w:tcBorders>
                    <w:tl2br w:val="nil"/>
                    <w:tr2bl w:val="nil"/>
                  </w:tcBorders>
                  <w:vAlign w:val="center"/>
                </w:tcPr>
                <w:p w14:paraId="255C8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5000t</w:t>
                  </w:r>
                </w:p>
              </w:tc>
              <w:tc>
                <w:tcPr>
                  <w:tcW w:w="1250" w:type="pct"/>
                  <w:tcBorders>
                    <w:tl2br w:val="nil"/>
                    <w:tr2bl w:val="nil"/>
                  </w:tcBorders>
                  <w:vAlign w:val="center"/>
                </w:tcPr>
                <w:p w14:paraId="19179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4500m</w:t>
                  </w:r>
                  <w:r>
                    <w:rPr>
                      <w:rFonts w:hint="eastAsia" w:ascii="Times New Roman" w:hAnsi="Times New Roman" w:eastAsia="宋体"/>
                      <w:sz w:val="21"/>
                      <w:vertAlign w:val="superscript"/>
                      <w:lang w:val="en-US" w:eastAsia="zh-CN"/>
                    </w:rPr>
                    <w:t>3</w:t>
                  </w:r>
                </w:p>
              </w:tc>
              <w:tc>
                <w:tcPr>
                  <w:tcW w:w="1250" w:type="pct"/>
                  <w:vMerge w:val="continue"/>
                  <w:tcBorders>
                    <w:tl2br w:val="nil"/>
                    <w:tr2bl w:val="nil"/>
                  </w:tcBorders>
                  <w:vAlign w:val="center"/>
                </w:tcPr>
                <w:p w14:paraId="74F35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vertAlign w:val="baseline"/>
                      <w:lang w:val="en-US" w:eastAsia="zh-CN"/>
                    </w:rPr>
                  </w:pPr>
                </w:p>
              </w:tc>
            </w:tr>
          </w:tbl>
          <w:p w14:paraId="7402FEB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b/>
                <w:bCs/>
                <w:color w:val="auto"/>
                <w:spacing w:val="0"/>
                <w:position w:val="0"/>
                <w:sz w:val="21"/>
                <w:szCs w:val="21"/>
                <w:lang w:val="en-US" w:eastAsia="zh-CN"/>
              </w:rPr>
            </w:pPr>
            <w:r>
              <w:rPr>
                <w:rFonts w:hint="eastAsia"/>
                <w:b/>
                <w:bCs/>
                <w:color w:val="auto"/>
                <w:spacing w:val="0"/>
                <w:position w:val="0"/>
                <w:sz w:val="21"/>
                <w:szCs w:val="21"/>
                <w:lang w:val="en-US" w:eastAsia="zh-CN"/>
              </w:rPr>
              <w:t>2原项目工艺分析</w:t>
            </w:r>
          </w:p>
          <w:p w14:paraId="3F36149C">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本项目生产产品为各种规格的玻璃制品，生产原材料为不饱和聚酯树脂（内衬树脂、缠绕型专用树脂）、玻璃纤维（纤维布、纤维丝）等。具体工艺如下图：</w:t>
            </w:r>
          </w:p>
          <w:p w14:paraId="34E83F6E">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FF"/>
                <w:spacing w:val="0"/>
                <w:position w:val="0"/>
                <w:sz w:val="21"/>
                <w:szCs w:val="21"/>
              </w:rPr>
            </w:pPr>
            <w:r>
              <w:rPr>
                <w:color w:val="0000FF"/>
                <w:spacing w:val="0"/>
                <w:position w:val="0"/>
                <w:sz w:val="21"/>
                <w:szCs w:val="21"/>
              </w:rPr>
              <w:drawing>
                <wp:inline distT="0" distB="0" distL="114300" distR="114300">
                  <wp:extent cx="4446905" cy="3822065"/>
                  <wp:effectExtent l="0" t="0" r="10795" b="698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9"/>
                          <a:stretch>
                            <a:fillRect/>
                          </a:stretch>
                        </pic:blipFill>
                        <pic:spPr>
                          <a:xfrm>
                            <a:off x="0" y="0"/>
                            <a:ext cx="4446905" cy="3822065"/>
                          </a:xfrm>
                          <a:prstGeom prst="rect">
                            <a:avLst/>
                          </a:prstGeom>
                          <a:noFill/>
                          <a:ln>
                            <a:noFill/>
                          </a:ln>
                        </pic:spPr>
                      </pic:pic>
                    </a:graphicData>
                  </a:graphic>
                </wp:inline>
              </w:drawing>
            </w:r>
          </w:p>
          <w:p w14:paraId="23A0DE8C">
            <w:pPr>
              <w:pStyle w:val="9"/>
              <w:spacing w:before="0" w:after="0" w:line="240" w:lineRule="auto"/>
              <w:ind w:firstLine="0" w:firstLineChars="0"/>
              <w:jc w:val="center"/>
              <w:rPr>
                <w:rFonts w:eastAsia="黑体"/>
                <w:color w:val="auto"/>
                <w:spacing w:val="0"/>
                <w:position w:val="0"/>
                <w:sz w:val="21"/>
                <w:szCs w:val="21"/>
              </w:rPr>
            </w:pPr>
            <w:r>
              <w:rPr>
                <w:rFonts w:eastAsia="黑体"/>
                <w:color w:val="auto"/>
                <w:spacing w:val="0"/>
                <w:position w:val="0"/>
                <w:sz w:val="21"/>
                <w:szCs w:val="21"/>
              </w:rPr>
              <w:t>框图</w:t>
            </w:r>
            <w:r>
              <w:rPr>
                <w:rFonts w:hint="eastAsia" w:eastAsia="黑体"/>
                <w:color w:val="auto"/>
                <w:spacing w:val="0"/>
                <w:position w:val="0"/>
                <w:sz w:val="21"/>
                <w:szCs w:val="21"/>
              </w:rPr>
              <w:t>2</w:t>
            </w:r>
            <w:r>
              <w:rPr>
                <w:rFonts w:hint="eastAsia" w:eastAsia="黑体"/>
                <w:color w:val="auto"/>
                <w:spacing w:val="0"/>
                <w:position w:val="0"/>
                <w:sz w:val="21"/>
                <w:szCs w:val="21"/>
                <w:lang w:val="en-US" w:eastAsia="zh-CN"/>
              </w:rPr>
              <w:t>-7</w:t>
            </w:r>
            <w:r>
              <w:rPr>
                <w:rFonts w:eastAsia="黑体"/>
                <w:color w:val="auto"/>
                <w:spacing w:val="0"/>
                <w:position w:val="0"/>
                <w:sz w:val="21"/>
                <w:szCs w:val="21"/>
              </w:rPr>
              <w:t xml:space="preserve">  </w:t>
            </w:r>
            <w:r>
              <w:rPr>
                <w:rFonts w:hint="eastAsia" w:eastAsia="黑体"/>
                <w:color w:val="auto"/>
                <w:spacing w:val="0"/>
                <w:position w:val="0"/>
                <w:sz w:val="21"/>
                <w:szCs w:val="21"/>
                <w:lang w:val="en-US" w:eastAsia="zh-CN"/>
              </w:rPr>
              <w:t>玻璃制品生产加工</w:t>
            </w:r>
            <w:r>
              <w:rPr>
                <w:rFonts w:hint="eastAsia" w:eastAsia="黑体"/>
                <w:color w:val="auto"/>
                <w:spacing w:val="0"/>
                <w:position w:val="0"/>
                <w:sz w:val="21"/>
                <w:szCs w:val="21"/>
              </w:rPr>
              <w:t>线</w:t>
            </w:r>
            <w:r>
              <w:rPr>
                <w:rFonts w:eastAsia="黑体"/>
                <w:color w:val="auto"/>
                <w:spacing w:val="0"/>
                <w:position w:val="0"/>
                <w:sz w:val="21"/>
                <w:szCs w:val="21"/>
              </w:rPr>
              <w:t>工艺流程</w:t>
            </w:r>
            <w:r>
              <w:rPr>
                <w:rFonts w:hint="eastAsia" w:eastAsia="黑体"/>
                <w:color w:val="auto"/>
                <w:spacing w:val="0"/>
                <w:position w:val="0"/>
                <w:sz w:val="21"/>
                <w:szCs w:val="21"/>
              </w:rPr>
              <w:t>图</w:t>
            </w:r>
          </w:p>
          <w:p w14:paraId="065C1BDD">
            <w:pPr>
              <w:keepNext w:val="0"/>
              <w:keepLines w:val="0"/>
              <w:pageBreakBefore w:val="0"/>
              <w:kinsoku/>
              <w:wordWrap/>
              <w:overflowPunct/>
              <w:topLinePunct w:val="0"/>
              <w:autoSpaceDE/>
              <w:autoSpaceDN/>
              <w:bidi w:val="0"/>
              <w:adjustRightInd/>
              <w:snapToGrid/>
              <w:spacing w:line="360" w:lineRule="auto"/>
              <w:textAlignment w:val="auto"/>
              <w:rPr>
                <w:color w:val="auto"/>
                <w:spacing w:val="0"/>
                <w:position w:val="0"/>
                <w:sz w:val="21"/>
                <w:szCs w:val="21"/>
              </w:rPr>
            </w:pPr>
            <w:r>
              <w:rPr>
                <w:rFonts w:hint="eastAsia" w:cs="Times New Roman"/>
                <w:b w:val="0"/>
                <w:bCs/>
                <w:color w:val="auto"/>
                <w:spacing w:val="0"/>
                <w:position w:val="0"/>
                <w:sz w:val="21"/>
                <w:szCs w:val="21"/>
                <w:lang w:val="en-US" w:eastAsia="zh-CN"/>
              </w:rPr>
              <w:t>1）模具整理：生产过程首先是模具整理，根据生产需求选择相应模具并整理备用；</w:t>
            </w:r>
          </w:p>
          <w:p w14:paraId="2AD180FE">
            <w:pPr>
              <w:keepNext w:val="0"/>
              <w:keepLines w:val="0"/>
              <w:pageBreakBefore w:val="0"/>
              <w:kinsoku/>
              <w:wordWrap/>
              <w:overflowPunct/>
              <w:topLinePunct w:val="0"/>
              <w:autoSpaceDE/>
              <w:autoSpaceDN/>
              <w:bidi w:val="0"/>
              <w:adjustRightInd/>
              <w:snapToGrid/>
              <w:spacing w:line="360" w:lineRule="auto"/>
              <w:textAlignment w:val="auto"/>
              <w:rPr>
                <w:rFonts w:hint="default"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2）制衬机制作衬层：根据生产的产品使用不同的模具，用树脂、纤维布、纤维丝制作内衬或外衬层，此过程产生无组织苯系物及噪声；</w:t>
            </w:r>
          </w:p>
          <w:p w14:paraId="2AACC341">
            <w:pPr>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3）固化站固化：混合浆液、玻璃纤维纱和纤维布附着在模具上约60分钟后在室温环境下自然固化，此过程产生有机废气；</w:t>
            </w:r>
          </w:p>
          <w:p w14:paraId="1B587EF4">
            <w:pPr>
              <w:keepNext w:val="0"/>
              <w:keepLines w:val="0"/>
              <w:pageBreakBefore w:val="0"/>
              <w:kinsoku/>
              <w:wordWrap/>
              <w:overflowPunct/>
              <w:topLinePunct w:val="0"/>
              <w:autoSpaceDE/>
              <w:autoSpaceDN/>
              <w:bidi w:val="0"/>
              <w:adjustRightInd/>
              <w:snapToGrid/>
              <w:spacing w:line="360" w:lineRule="auto"/>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4）结构缠绕：固化后用缠绕型专用树脂和无碱玻璃纤维纱进行结构缠绕，最后用缠绕型专用树脂、无碱玻璃纤维纱进行结构缠绕，此过程产生有机废气；</w:t>
            </w:r>
          </w:p>
          <w:p w14:paraId="6F5F2463">
            <w:pPr>
              <w:keepNext w:val="0"/>
              <w:keepLines w:val="0"/>
              <w:pageBreakBefore w:val="0"/>
              <w:kinsoku/>
              <w:wordWrap/>
              <w:overflowPunct/>
              <w:topLinePunct w:val="0"/>
              <w:autoSpaceDE/>
              <w:autoSpaceDN/>
              <w:bidi w:val="0"/>
              <w:adjustRightInd/>
              <w:snapToGrid/>
              <w:spacing w:line="360" w:lineRule="auto"/>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5）加砂层缠绕：用缠绕型专用树脂和纤维纱进行加砂层缠绕，此过程产生有机废气；</w:t>
            </w:r>
          </w:p>
          <w:p w14:paraId="1CE2019D">
            <w:pPr>
              <w:keepNext w:val="0"/>
              <w:keepLines w:val="0"/>
              <w:pageBreakBefore w:val="0"/>
              <w:kinsoku/>
              <w:wordWrap/>
              <w:overflowPunct/>
              <w:topLinePunct w:val="0"/>
              <w:autoSpaceDE/>
              <w:autoSpaceDN/>
              <w:bidi w:val="0"/>
              <w:adjustRightInd/>
              <w:snapToGrid/>
              <w:spacing w:line="360" w:lineRule="auto"/>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6）结构层缠绕：用缠绕型专用树脂、无碱玻璃纤维纱进行结构缠绕，此过程产生有机废气；</w:t>
            </w:r>
          </w:p>
          <w:p w14:paraId="005C87DF">
            <w:pPr>
              <w:keepNext w:val="0"/>
              <w:keepLines w:val="0"/>
              <w:pageBreakBefore w:val="0"/>
              <w:kinsoku/>
              <w:wordWrap/>
              <w:overflowPunct/>
              <w:topLinePunct w:val="0"/>
              <w:autoSpaceDE/>
              <w:autoSpaceDN/>
              <w:bidi w:val="0"/>
              <w:adjustRightInd/>
              <w:snapToGrid/>
              <w:spacing w:line="360" w:lineRule="auto"/>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7）表面修理：成型后经磨光机进行修整，该工序主要污染物为修整时产生的废气与边角料，废气主要为颗粒物；</w:t>
            </w:r>
          </w:p>
          <w:p w14:paraId="72B81F5B">
            <w:pPr>
              <w:keepNext w:val="0"/>
              <w:keepLines w:val="0"/>
              <w:pageBreakBefore w:val="0"/>
              <w:kinsoku/>
              <w:wordWrap/>
              <w:overflowPunct/>
              <w:topLinePunct w:val="0"/>
              <w:autoSpaceDE/>
              <w:autoSpaceDN/>
              <w:bidi w:val="0"/>
              <w:adjustRightInd/>
              <w:snapToGrid/>
              <w:spacing w:line="360" w:lineRule="auto"/>
              <w:textAlignment w:val="auto"/>
              <w:rPr>
                <w:rFonts w:hint="default" w:eastAsia="宋体"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8）脱模：通过控制模具的伸缩可实现自动脱模，脱模即成产品；</w:t>
            </w:r>
          </w:p>
          <w:p w14:paraId="5434BA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9）检验试压：产品经过相应的外观检验和物理机械试验合格后，合格的产品打包入库，不合格产品返回生产线修补；</w:t>
            </w:r>
          </w:p>
          <w:p w14:paraId="5C01F56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b/>
                <w:bCs/>
                <w:color w:val="auto"/>
                <w:spacing w:val="0"/>
                <w:position w:val="0"/>
                <w:sz w:val="21"/>
                <w:szCs w:val="21"/>
                <w:lang w:val="en-US" w:eastAsia="zh-CN"/>
              </w:rPr>
            </w:pPr>
            <w:r>
              <w:rPr>
                <w:rFonts w:hint="eastAsia"/>
                <w:b/>
                <w:bCs/>
                <w:color w:val="auto"/>
                <w:spacing w:val="0"/>
                <w:position w:val="0"/>
                <w:sz w:val="21"/>
                <w:szCs w:val="21"/>
                <w:lang w:val="en-US" w:eastAsia="zh-CN"/>
              </w:rPr>
              <w:t>3原项目污染物产生及排放情况</w:t>
            </w:r>
          </w:p>
          <w:p w14:paraId="543E058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20" w:firstLineChars="200"/>
              <w:jc w:val="left"/>
              <w:textAlignment w:val="auto"/>
              <w:rPr>
                <w:rFonts w:hint="default" w:cs="Times New Roman"/>
                <w:b w:val="0"/>
                <w:bCs/>
                <w:color w:val="auto"/>
                <w:spacing w:val="0"/>
                <w:position w:val="0"/>
                <w:sz w:val="21"/>
                <w:szCs w:val="21"/>
                <w:lang w:val="en-US" w:eastAsia="zh-CN"/>
              </w:rPr>
            </w:pPr>
            <w:r>
              <w:rPr>
                <w:rFonts w:hint="eastAsia"/>
                <w:b w:val="0"/>
                <w:bCs w:val="0"/>
                <w:color w:val="auto"/>
                <w:spacing w:val="0"/>
                <w:position w:val="0"/>
                <w:sz w:val="21"/>
                <w:szCs w:val="21"/>
                <w:lang w:val="en-US" w:eastAsia="zh-CN"/>
              </w:rPr>
              <w:t>原项目环评于2014年编制，2014年未定总量控制目标因此未核算非甲烷总烃排放量，现用</w:t>
            </w:r>
            <w:r>
              <w:rPr>
                <w:rFonts w:hint="eastAsia" w:cs="Times New Roman"/>
                <w:b w:val="0"/>
                <w:bCs/>
                <w:color w:val="auto"/>
                <w:spacing w:val="0"/>
                <w:position w:val="0"/>
                <w:sz w:val="21"/>
                <w:szCs w:val="21"/>
                <w:lang w:val="en-US" w:eastAsia="zh-CN"/>
              </w:rPr>
              <w:t>《排放源统计调查产排污核算方法和系数手册》结合项目原工艺流程对原项目污染物排放量进行核算。</w:t>
            </w:r>
          </w:p>
          <w:p w14:paraId="195531C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玻璃钢制品在生产过程使用了树脂，对环境产生污染的主要是树脂中的有机溶剂的挥发物质，其主要污染因子为非甲烷总烃、苯系物等。根据《排放源统计调查产排污核算方法和系数手册》，“33-37，431-434机械行业（不包括电镀工艺）”行业系数表中08树脂纤维加工中缠绕成型、模压成型环节中产生的挥发性有机物（以非甲烷总烃计）的产污系数为：60.0千克/吨-原料。原环评设计环氧树脂、玻璃纤维布、促进剂、固化剂等总用量为700t/a，原项目实际产量为原环评设计的22.5%，则环氧树脂、玻璃纤维布、促进剂、固化剂等实际总用量为157.5t/a，计算得出非甲烷总烃的产生量为9.45t/a。本项目产生有机废气的工艺环节均装配集气罩，通过集气罩和风机引入光氧催化装置处理达标，收集效率以90%计，处理效率以24%计，再经15m高排气筒排放。则计算得原项目非甲烷总烃有组织排放量为6.5t/a。无组织排放量为0.95t/a，通过车间开窗通风换气以减少无组织有机废气浓度。</w:t>
            </w:r>
          </w:p>
          <w:p w14:paraId="72C53C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b w:val="0"/>
                <w:bCs/>
                <w:color w:val="auto"/>
                <w:spacing w:val="0"/>
                <w:kern w:val="2"/>
                <w:position w:val="0"/>
                <w:sz w:val="21"/>
                <w:szCs w:val="21"/>
                <w:lang w:val="en-US" w:eastAsia="zh-CN" w:bidi="ar-SA"/>
              </w:rPr>
              <w:t>结合秦丰环保科技有限公司于2019年的验收监测报告原项目</w:t>
            </w:r>
            <w:r>
              <w:rPr>
                <w:rFonts w:hint="eastAsia" w:ascii="Times New Roman" w:hAnsi="Times New Roman" w:eastAsia="宋体" w:cs="Times New Roman"/>
                <w:color w:val="000000"/>
                <w:sz w:val="21"/>
                <w:szCs w:val="21"/>
                <w:lang w:val="en-US" w:eastAsia="zh-CN"/>
              </w:rPr>
              <w:t>的</w:t>
            </w:r>
            <w:r>
              <w:rPr>
                <w:rFonts w:hint="default" w:ascii="Times New Roman" w:hAnsi="Times New Roman" w:eastAsia="宋体" w:cs="Times New Roman"/>
                <w:color w:val="000000"/>
                <w:sz w:val="21"/>
                <w:szCs w:val="21"/>
                <w:lang w:val="en-US" w:eastAsia="zh-CN"/>
              </w:rPr>
              <w:t>污染源各污染物排放量详见表2-1</w:t>
            </w:r>
            <w:r>
              <w:rPr>
                <w:rFonts w:hint="eastAsia" w:ascii="Times New Roman" w:hAnsi="Times New Roman" w:eastAsia="宋体" w:cs="Times New Roman"/>
                <w:color w:val="000000"/>
                <w:sz w:val="21"/>
                <w:szCs w:val="21"/>
                <w:lang w:val="en-US" w:eastAsia="zh-CN"/>
              </w:rPr>
              <w:t>1。</w:t>
            </w:r>
          </w:p>
          <w:p w14:paraId="0C610A6B">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b/>
                <w:color w:val="000000"/>
                <w:sz w:val="21"/>
                <w:szCs w:val="21"/>
                <w:highlight w:val="none"/>
              </w:rPr>
            </w:pPr>
            <w:r>
              <w:rPr>
                <w:rFonts w:hint="default" w:ascii="Times New Roman" w:hAnsi="Times New Roman" w:eastAsia="宋体" w:cs="Times New Roman"/>
                <w:b/>
                <w:bCs/>
                <w:color w:val="000000"/>
                <w:sz w:val="21"/>
                <w:szCs w:val="21"/>
              </w:rPr>
              <w:t>表 2-</w:t>
            </w:r>
            <w:r>
              <w:rPr>
                <w:rFonts w:hint="default" w:ascii="Times New Roman" w:hAnsi="Times New Roman" w:eastAsia="宋体" w:cs="Times New Roman"/>
                <w:b/>
                <w:bCs/>
                <w:color w:val="000000"/>
                <w:sz w:val="21"/>
                <w:szCs w:val="21"/>
                <w:lang w:val="en-US" w:eastAsia="zh-CN"/>
              </w:rPr>
              <w:t>1</w:t>
            </w:r>
            <w:r>
              <w:rPr>
                <w:rFonts w:hint="eastAsia" w:ascii="Times New Roman" w:hAnsi="Times New Roman"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val="en-US" w:eastAsia="zh-CN"/>
              </w:rPr>
              <w:t xml:space="preserve"> </w:t>
            </w:r>
            <w:r>
              <w:rPr>
                <w:b/>
                <w:color w:val="000000"/>
                <w:sz w:val="21"/>
                <w:szCs w:val="21"/>
                <w:highlight w:val="none"/>
              </w:rPr>
              <w:t>现有项目主要污染物排放量一览表</w:t>
            </w:r>
          </w:p>
          <w:tbl>
            <w:tblPr>
              <w:tblStyle w:val="30"/>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881"/>
              <w:gridCol w:w="1732"/>
              <w:gridCol w:w="1785"/>
              <w:gridCol w:w="1789"/>
            </w:tblGrid>
            <w:tr w14:paraId="5CC46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pct"/>
                  <w:tcBorders>
                    <w:tl2br w:val="nil"/>
                    <w:tr2bl w:val="nil"/>
                  </w:tcBorders>
                  <w:noWrap w:val="0"/>
                  <w:vAlign w:val="center"/>
                </w:tcPr>
                <w:p w14:paraId="3D5E164F">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项目</w:t>
                  </w:r>
                </w:p>
              </w:tc>
              <w:tc>
                <w:tcPr>
                  <w:tcW w:w="1125" w:type="pct"/>
                  <w:tcBorders>
                    <w:tl2br w:val="nil"/>
                    <w:tr2bl w:val="nil"/>
                  </w:tcBorders>
                  <w:noWrap w:val="0"/>
                  <w:vAlign w:val="center"/>
                </w:tcPr>
                <w:p w14:paraId="5797F4C7">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污染物</w:t>
                  </w:r>
                </w:p>
              </w:tc>
              <w:tc>
                <w:tcPr>
                  <w:tcW w:w="1036" w:type="pct"/>
                  <w:tcBorders>
                    <w:tl2br w:val="nil"/>
                    <w:tr2bl w:val="nil"/>
                  </w:tcBorders>
                  <w:noWrap w:val="0"/>
                  <w:vAlign w:val="center"/>
                </w:tcPr>
                <w:p w14:paraId="00099D36">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产生量t/a</w:t>
                  </w:r>
                </w:p>
              </w:tc>
              <w:tc>
                <w:tcPr>
                  <w:tcW w:w="1068" w:type="pct"/>
                  <w:tcBorders>
                    <w:tl2br w:val="nil"/>
                    <w:tr2bl w:val="nil"/>
                  </w:tcBorders>
                  <w:noWrap w:val="0"/>
                  <w:vAlign w:val="center"/>
                </w:tcPr>
                <w:p w14:paraId="032B4E71">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消减量t/a</w:t>
                  </w:r>
                </w:p>
              </w:tc>
              <w:tc>
                <w:tcPr>
                  <w:tcW w:w="1070" w:type="pct"/>
                  <w:tcBorders>
                    <w:tl2br w:val="nil"/>
                    <w:tr2bl w:val="nil"/>
                  </w:tcBorders>
                  <w:noWrap w:val="0"/>
                  <w:vAlign w:val="center"/>
                </w:tcPr>
                <w:p w14:paraId="1BB2FF0E">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排放量t/a</w:t>
                  </w:r>
                </w:p>
              </w:tc>
            </w:tr>
            <w:tr w14:paraId="10667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8" w:type="pct"/>
                  <w:tcBorders>
                    <w:tl2br w:val="nil"/>
                    <w:tr2bl w:val="nil"/>
                  </w:tcBorders>
                  <w:noWrap w:val="0"/>
                  <w:vAlign w:val="center"/>
                </w:tcPr>
                <w:p w14:paraId="440395D5">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废气</w:t>
                  </w:r>
                </w:p>
              </w:tc>
              <w:tc>
                <w:tcPr>
                  <w:tcW w:w="1125" w:type="pct"/>
                  <w:tcBorders>
                    <w:tl2br w:val="nil"/>
                    <w:tr2bl w:val="nil"/>
                  </w:tcBorders>
                  <w:noWrap w:val="0"/>
                  <w:vAlign w:val="center"/>
                </w:tcPr>
                <w:p w14:paraId="6F013C1F">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lang w:val="en-US" w:eastAsia="zh-CN"/>
                    </w:rPr>
                    <w:t>VOCs</w:t>
                  </w:r>
                </w:p>
              </w:tc>
              <w:tc>
                <w:tcPr>
                  <w:tcW w:w="1036" w:type="pct"/>
                  <w:tcBorders>
                    <w:tl2br w:val="nil"/>
                    <w:tr2bl w:val="nil"/>
                  </w:tcBorders>
                  <w:noWrap w:val="0"/>
                  <w:vAlign w:val="center"/>
                </w:tcPr>
                <w:p w14:paraId="79AF4ADA">
                  <w:pPr>
                    <w:pStyle w:val="64"/>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6.5</w:t>
                  </w:r>
                  <w:r>
                    <w:rPr>
                      <w:rFonts w:hint="default" w:ascii="Times New Roman" w:hAnsi="Times New Roman" w:eastAsia="宋体" w:cs="Times New Roman"/>
                      <w:color w:val="000000"/>
                      <w:sz w:val="21"/>
                      <w:szCs w:val="21"/>
                      <w:highlight w:val="none"/>
                      <w:lang w:val="en-US" w:eastAsia="zh-CN"/>
                    </w:rPr>
                    <w:t>t/a</w:t>
                  </w:r>
                </w:p>
              </w:tc>
              <w:tc>
                <w:tcPr>
                  <w:tcW w:w="1068" w:type="pct"/>
                  <w:tcBorders>
                    <w:tl2br w:val="nil"/>
                    <w:tr2bl w:val="nil"/>
                  </w:tcBorders>
                  <w:noWrap w:val="0"/>
                  <w:vAlign w:val="center"/>
                </w:tcPr>
                <w:p w14:paraId="3DE72517">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0</w:t>
                  </w:r>
                </w:p>
              </w:tc>
              <w:tc>
                <w:tcPr>
                  <w:tcW w:w="1070" w:type="pct"/>
                  <w:tcBorders>
                    <w:tl2br w:val="nil"/>
                    <w:tr2bl w:val="nil"/>
                  </w:tcBorders>
                  <w:noWrap w:val="0"/>
                  <w:vAlign w:val="center"/>
                </w:tcPr>
                <w:p w14:paraId="74DE686B">
                  <w:pPr>
                    <w:pStyle w:val="64"/>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6.5</w:t>
                  </w:r>
                  <w:r>
                    <w:rPr>
                      <w:rFonts w:hint="default" w:ascii="Times New Roman" w:hAnsi="Times New Roman" w:eastAsia="宋体" w:cs="Times New Roman"/>
                      <w:color w:val="000000"/>
                      <w:sz w:val="21"/>
                      <w:szCs w:val="21"/>
                      <w:highlight w:val="none"/>
                      <w:lang w:val="en-US" w:eastAsia="zh-CN"/>
                    </w:rPr>
                    <w:t>t/a</w:t>
                  </w:r>
                </w:p>
              </w:tc>
            </w:tr>
            <w:tr w14:paraId="75A3A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pct"/>
                  <w:tcBorders>
                    <w:tl2br w:val="nil"/>
                    <w:tr2bl w:val="nil"/>
                  </w:tcBorders>
                  <w:noWrap w:val="0"/>
                  <w:vAlign w:val="center"/>
                </w:tcPr>
                <w:p w14:paraId="3A0AD205">
                  <w:pPr>
                    <w:pStyle w:val="4"/>
                    <w:pageBreakBefore w:val="0"/>
                    <w:numPr>
                      <w:ilvl w:val="0"/>
                      <w:numId w:val="0"/>
                    </w:numPr>
                    <w:tabs>
                      <w:tab w:val="left" w:pos="851"/>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2"/>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snapToGrid w:val="0"/>
                      <w:color w:val="000000"/>
                      <w:kern w:val="2"/>
                      <w:sz w:val="21"/>
                      <w:szCs w:val="21"/>
                      <w:highlight w:val="none"/>
                    </w:rPr>
                    <w:t>废水</w:t>
                  </w:r>
                </w:p>
              </w:tc>
              <w:tc>
                <w:tcPr>
                  <w:tcW w:w="1125" w:type="pct"/>
                  <w:tcBorders>
                    <w:tl2br w:val="nil"/>
                    <w:tr2bl w:val="nil"/>
                  </w:tcBorders>
                  <w:noWrap w:val="0"/>
                  <w:vAlign w:val="center"/>
                </w:tcPr>
                <w:p w14:paraId="7FC93775">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废水量</w:t>
                  </w:r>
                </w:p>
              </w:tc>
              <w:tc>
                <w:tcPr>
                  <w:tcW w:w="1036" w:type="pct"/>
                  <w:tcBorders>
                    <w:tl2br w:val="nil"/>
                    <w:tr2bl w:val="nil"/>
                  </w:tcBorders>
                  <w:noWrap w:val="0"/>
                  <w:vAlign w:val="center"/>
                </w:tcPr>
                <w:p w14:paraId="3896851D">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color w:val="000000"/>
                      <w:sz w:val="21"/>
                      <w:szCs w:val="21"/>
                      <w:highlight w:val="none"/>
                      <w:lang w:val="en-US" w:eastAsia="zh-CN" w:bidi="ar"/>
                    </w:rPr>
                    <w:t>425</w:t>
                  </w:r>
                  <w:r>
                    <w:rPr>
                      <w:rFonts w:hint="default" w:ascii="Times New Roman" w:hAnsi="Times New Roman" w:eastAsia="宋体" w:cs="Times New Roman"/>
                      <w:color w:val="000000"/>
                      <w:sz w:val="21"/>
                      <w:szCs w:val="21"/>
                      <w:highlight w:val="none"/>
                      <w:lang w:bidi="ar"/>
                    </w:rPr>
                    <w:t>t/a</w:t>
                  </w:r>
                </w:p>
              </w:tc>
              <w:tc>
                <w:tcPr>
                  <w:tcW w:w="1068" w:type="pct"/>
                  <w:tcBorders>
                    <w:tl2br w:val="nil"/>
                    <w:tr2bl w:val="nil"/>
                  </w:tcBorders>
                  <w:noWrap w:val="0"/>
                  <w:vAlign w:val="center"/>
                </w:tcPr>
                <w:p w14:paraId="6EBBF3D5">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0</w:t>
                  </w:r>
                </w:p>
              </w:tc>
              <w:tc>
                <w:tcPr>
                  <w:tcW w:w="1070" w:type="pct"/>
                  <w:tcBorders>
                    <w:tl2br w:val="nil"/>
                    <w:tr2bl w:val="nil"/>
                  </w:tcBorders>
                  <w:noWrap w:val="0"/>
                  <w:vAlign w:val="center"/>
                </w:tcPr>
                <w:p w14:paraId="39067E08">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color w:val="000000"/>
                      <w:sz w:val="21"/>
                      <w:szCs w:val="21"/>
                      <w:highlight w:val="none"/>
                      <w:lang w:val="en-US" w:eastAsia="zh-CN" w:bidi="ar"/>
                    </w:rPr>
                    <w:t>425</w:t>
                  </w:r>
                  <w:r>
                    <w:rPr>
                      <w:rFonts w:hint="default" w:ascii="Times New Roman" w:hAnsi="Times New Roman" w:eastAsia="宋体" w:cs="Times New Roman"/>
                      <w:color w:val="000000"/>
                      <w:sz w:val="21"/>
                      <w:szCs w:val="21"/>
                      <w:highlight w:val="none"/>
                      <w:lang w:bidi="ar"/>
                    </w:rPr>
                    <w:t>t/a</w:t>
                  </w:r>
                </w:p>
              </w:tc>
            </w:tr>
            <w:tr w14:paraId="74DF3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98" w:type="pct"/>
                  <w:tcBorders>
                    <w:tl2br w:val="nil"/>
                    <w:tr2bl w:val="nil"/>
                  </w:tcBorders>
                  <w:noWrap w:val="0"/>
                  <w:vAlign w:val="center"/>
                </w:tcPr>
                <w:p w14:paraId="7FBDDC53">
                  <w:pPr>
                    <w:pStyle w:val="64"/>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kern w:val="21"/>
                      <w:sz w:val="21"/>
                      <w:szCs w:val="21"/>
                      <w:highlight w:val="none"/>
                      <w:lang w:val="en-US" w:eastAsia="zh-CN"/>
                    </w:rPr>
                    <w:t>生活垃圾</w:t>
                  </w:r>
                </w:p>
              </w:tc>
              <w:tc>
                <w:tcPr>
                  <w:tcW w:w="1125" w:type="pct"/>
                  <w:tcBorders>
                    <w:tl2br w:val="nil"/>
                    <w:tr2bl w:val="nil"/>
                  </w:tcBorders>
                  <w:noWrap w:val="0"/>
                  <w:vAlign w:val="center"/>
                </w:tcPr>
                <w:p w14:paraId="241EC97F">
                  <w:pPr>
                    <w:keepNext w:val="0"/>
                    <w:keepLines w:val="0"/>
                    <w:pageBreakBefore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生活垃圾</w:t>
                  </w:r>
                </w:p>
              </w:tc>
              <w:tc>
                <w:tcPr>
                  <w:tcW w:w="1036" w:type="pct"/>
                  <w:tcBorders>
                    <w:tl2br w:val="nil"/>
                    <w:tr2bl w:val="nil"/>
                  </w:tcBorders>
                  <w:noWrap w:val="0"/>
                  <w:vAlign w:val="center"/>
                </w:tcPr>
                <w:p w14:paraId="3EE4A5F3">
                  <w:pPr>
                    <w:pStyle w:val="64"/>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2.5</w:t>
                  </w:r>
                  <w:r>
                    <w:rPr>
                      <w:rFonts w:hint="default" w:ascii="Times New Roman" w:hAnsi="Times New Roman" w:eastAsia="宋体" w:cs="Times New Roman"/>
                      <w:color w:val="000000"/>
                      <w:sz w:val="21"/>
                      <w:szCs w:val="21"/>
                      <w:highlight w:val="none"/>
                      <w:lang w:bidi="ar"/>
                    </w:rPr>
                    <w:t>t/a</w:t>
                  </w:r>
                </w:p>
              </w:tc>
              <w:tc>
                <w:tcPr>
                  <w:tcW w:w="1068" w:type="pct"/>
                  <w:tcBorders>
                    <w:tl2br w:val="nil"/>
                    <w:tr2bl w:val="nil"/>
                  </w:tcBorders>
                  <w:noWrap w:val="0"/>
                  <w:vAlign w:val="center"/>
                </w:tcPr>
                <w:p w14:paraId="3C6A42EE">
                  <w:pPr>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0</w:t>
                  </w:r>
                </w:p>
              </w:tc>
              <w:tc>
                <w:tcPr>
                  <w:tcW w:w="1070" w:type="pct"/>
                  <w:tcBorders>
                    <w:tl2br w:val="nil"/>
                    <w:tr2bl w:val="nil"/>
                  </w:tcBorders>
                  <w:noWrap w:val="0"/>
                  <w:vAlign w:val="center"/>
                </w:tcPr>
                <w:p w14:paraId="1660E6DE">
                  <w:pPr>
                    <w:pStyle w:val="64"/>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2.5</w:t>
                  </w:r>
                  <w:r>
                    <w:rPr>
                      <w:rFonts w:hint="default" w:ascii="Times New Roman" w:hAnsi="Times New Roman" w:eastAsia="宋体" w:cs="Times New Roman"/>
                      <w:color w:val="000000"/>
                      <w:sz w:val="21"/>
                      <w:szCs w:val="21"/>
                      <w:highlight w:val="none"/>
                      <w:lang w:bidi="ar"/>
                    </w:rPr>
                    <w:t>t/a</w:t>
                  </w:r>
                </w:p>
              </w:tc>
            </w:tr>
          </w:tbl>
          <w:p w14:paraId="625816A4">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left="0" w:leftChars="0" w:firstLine="0" w:firstLineChars="0"/>
              <w:jc w:val="left"/>
              <w:textAlignment w:val="auto"/>
              <w:rPr>
                <w:rFonts w:hint="default" w:ascii="Times New Roman" w:hAnsi="Times New Roman" w:eastAsia="宋体" w:cs="Times New Roman"/>
                <w:b/>
                <w:bCs w:val="0"/>
                <w:color w:val="auto"/>
                <w:spacing w:val="0"/>
                <w:position w:val="0"/>
                <w:sz w:val="21"/>
                <w:szCs w:val="21"/>
                <w:lang w:val="en-US" w:eastAsia="zh-CN"/>
              </w:rPr>
            </w:pPr>
            <w:r>
              <w:rPr>
                <w:rFonts w:hint="eastAsia" w:ascii="Times New Roman" w:hAnsi="Times New Roman" w:eastAsia="宋体" w:cs="Times New Roman"/>
                <w:b/>
                <w:bCs w:val="0"/>
                <w:color w:val="auto"/>
                <w:spacing w:val="0"/>
                <w:position w:val="0"/>
                <w:sz w:val="21"/>
                <w:szCs w:val="21"/>
                <w:lang w:val="en-US" w:eastAsia="zh-CN"/>
              </w:rPr>
              <w:t>4</w:t>
            </w:r>
            <w:r>
              <w:rPr>
                <w:rFonts w:hint="default" w:ascii="Times New Roman" w:hAnsi="Times New Roman" w:eastAsia="宋体" w:cs="Times New Roman"/>
                <w:b/>
                <w:bCs w:val="0"/>
                <w:color w:val="auto"/>
                <w:spacing w:val="0"/>
                <w:position w:val="0"/>
                <w:sz w:val="21"/>
                <w:szCs w:val="21"/>
                <w:lang w:val="en-US" w:eastAsia="zh-CN"/>
              </w:rPr>
              <w:t>现有工程存在的环境问题及</w:t>
            </w:r>
            <w:r>
              <w:rPr>
                <w:rFonts w:hint="eastAsia" w:cs="Times New Roman"/>
                <w:b/>
                <w:bCs w:val="0"/>
                <w:color w:val="auto"/>
                <w:spacing w:val="0"/>
                <w:position w:val="0"/>
                <w:sz w:val="21"/>
                <w:szCs w:val="21"/>
                <w:lang w:val="en-US" w:eastAsia="zh-CN"/>
              </w:rPr>
              <w:t>“</w:t>
            </w:r>
            <w:r>
              <w:rPr>
                <w:rFonts w:hint="default" w:ascii="Times New Roman" w:hAnsi="Times New Roman" w:eastAsia="宋体" w:cs="Times New Roman"/>
                <w:b/>
                <w:bCs w:val="0"/>
                <w:color w:val="auto"/>
                <w:spacing w:val="0"/>
                <w:position w:val="0"/>
                <w:sz w:val="21"/>
                <w:szCs w:val="21"/>
                <w:lang w:val="en-US" w:eastAsia="zh-CN"/>
              </w:rPr>
              <w:t>以新带老</w:t>
            </w:r>
            <w:r>
              <w:rPr>
                <w:rFonts w:hint="eastAsia" w:cs="Times New Roman"/>
                <w:b/>
                <w:bCs w:val="0"/>
                <w:color w:val="auto"/>
                <w:spacing w:val="0"/>
                <w:position w:val="0"/>
                <w:sz w:val="21"/>
                <w:szCs w:val="21"/>
                <w:lang w:val="en-US" w:eastAsia="zh-CN"/>
              </w:rPr>
              <w:t>”</w:t>
            </w:r>
            <w:r>
              <w:rPr>
                <w:rFonts w:hint="default" w:ascii="Times New Roman" w:hAnsi="Times New Roman" w:eastAsia="宋体" w:cs="Times New Roman"/>
                <w:b/>
                <w:bCs w:val="0"/>
                <w:color w:val="auto"/>
                <w:spacing w:val="0"/>
                <w:position w:val="0"/>
                <w:sz w:val="21"/>
                <w:szCs w:val="21"/>
                <w:lang w:val="en-US" w:eastAsia="zh-CN"/>
              </w:rPr>
              <w:t>措施</w:t>
            </w:r>
          </w:p>
          <w:p w14:paraId="30D4C03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Times New Roman" w:hAnsi="Times New Roman" w:eastAsia="宋体"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原项目中</w:t>
            </w:r>
            <w:r>
              <w:rPr>
                <w:rFonts w:hint="eastAsia" w:ascii="Times New Roman" w:hAnsi="Times New Roman" w:eastAsia="宋体" w:cs="Times New Roman"/>
                <w:b w:val="0"/>
                <w:bCs/>
                <w:color w:val="auto"/>
                <w:spacing w:val="0"/>
                <w:position w:val="0"/>
                <w:sz w:val="21"/>
                <w:szCs w:val="21"/>
                <w:lang w:val="en-US" w:eastAsia="zh-CN"/>
              </w:rPr>
              <w:t>光氧机为淘汰类的处理措施，</w:t>
            </w:r>
            <w:r>
              <w:rPr>
                <w:rFonts w:hint="eastAsia" w:cs="Times New Roman"/>
                <w:b w:val="0"/>
                <w:bCs/>
                <w:color w:val="auto"/>
                <w:spacing w:val="0"/>
                <w:position w:val="0"/>
                <w:sz w:val="21"/>
                <w:szCs w:val="21"/>
                <w:lang w:val="en-US" w:eastAsia="zh-CN"/>
              </w:rPr>
              <w:t>本项目扩建后新增活性炭吸附加催化燃烧器，新老车间共用一台活性炭吸附加催化燃烧器处理有机废气，此套设备为活性炭吸附脱附加催化燃烧器，在生产线上方设置加装软帘的集气罩，收集效率以90%计，处理效率以80%计，原项目非甲烷总烃的产生量为9.45t/a，则计算得原项目非甲烷总烃有组织排放量为1.7t/a，原项目验收时非甲烷总烃有组织排放量为6.5t/a，根据计算可得，引用新设备处理非甲烷总烃可以减少4.8t/a非甲烷总烃的排量。</w:t>
            </w:r>
            <w:r>
              <w:rPr>
                <w:rFonts w:hint="eastAsia" w:ascii="Times New Roman" w:hAnsi="Times New Roman" w:eastAsia="宋体" w:cs="Times New Roman"/>
                <w:b w:val="0"/>
                <w:bCs/>
                <w:color w:val="auto"/>
                <w:spacing w:val="0"/>
                <w:position w:val="0"/>
                <w:sz w:val="21"/>
                <w:szCs w:val="21"/>
                <w:lang w:val="en-US" w:eastAsia="zh-CN"/>
              </w:rPr>
              <w:t>根据现场勘查，现存的环境问题及</w:t>
            </w:r>
            <w:r>
              <w:rPr>
                <w:rFonts w:hint="eastAsia" w:cs="Times New Roman"/>
                <w:b w:val="0"/>
                <w:bCs/>
                <w:color w:val="auto"/>
                <w:spacing w:val="0"/>
                <w:position w:val="0"/>
                <w:sz w:val="21"/>
                <w:szCs w:val="21"/>
                <w:lang w:val="en-US" w:eastAsia="zh-CN"/>
              </w:rPr>
              <w:t>“</w:t>
            </w:r>
            <w:r>
              <w:rPr>
                <w:rFonts w:hint="eastAsia" w:ascii="Times New Roman" w:hAnsi="Times New Roman" w:eastAsia="宋体" w:cs="Times New Roman"/>
                <w:b w:val="0"/>
                <w:bCs/>
                <w:color w:val="auto"/>
                <w:spacing w:val="0"/>
                <w:position w:val="0"/>
                <w:sz w:val="21"/>
                <w:szCs w:val="21"/>
                <w:lang w:val="en-US" w:eastAsia="zh-CN"/>
              </w:rPr>
              <w:t>以新带老</w:t>
            </w:r>
            <w:r>
              <w:rPr>
                <w:rFonts w:hint="eastAsia" w:cs="Times New Roman"/>
                <w:b w:val="0"/>
                <w:bCs/>
                <w:color w:val="auto"/>
                <w:spacing w:val="0"/>
                <w:position w:val="0"/>
                <w:sz w:val="21"/>
                <w:szCs w:val="21"/>
                <w:lang w:val="en-US" w:eastAsia="zh-CN"/>
              </w:rPr>
              <w:t>”</w:t>
            </w:r>
            <w:r>
              <w:rPr>
                <w:rFonts w:hint="eastAsia" w:ascii="Times New Roman" w:hAnsi="Times New Roman" w:eastAsia="宋体" w:cs="Times New Roman"/>
                <w:b w:val="0"/>
                <w:bCs/>
                <w:color w:val="auto"/>
                <w:spacing w:val="0"/>
                <w:position w:val="0"/>
                <w:sz w:val="21"/>
                <w:szCs w:val="21"/>
                <w:lang w:val="en-US" w:eastAsia="zh-CN"/>
              </w:rPr>
              <w:t>措施见表2-1</w:t>
            </w:r>
            <w:r>
              <w:rPr>
                <w:rFonts w:hint="eastAsia" w:cs="Times New Roman"/>
                <w:b w:val="0"/>
                <w:bCs/>
                <w:color w:val="auto"/>
                <w:spacing w:val="0"/>
                <w:position w:val="0"/>
                <w:sz w:val="21"/>
                <w:szCs w:val="21"/>
                <w:lang w:val="en-US" w:eastAsia="zh-CN"/>
              </w:rPr>
              <w:t>2</w:t>
            </w:r>
            <w:r>
              <w:rPr>
                <w:rFonts w:hint="eastAsia" w:ascii="Times New Roman" w:hAnsi="Times New Roman" w:eastAsia="宋体" w:cs="Times New Roman"/>
                <w:b w:val="0"/>
                <w:bCs/>
                <w:color w:val="auto"/>
                <w:spacing w:val="0"/>
                <w:position w:val="0"/>
                <w:sz w:val="21"/>
                <w:szCs w:val="21"/>
                <w:lang w:val="en-US" w:eastAsia="zh-CN"/>
              </w:rPr>
              <w:t>。</w:t>
            </w:r>
          </w:p>
          <w:p w14:paraId="640F6F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表2-1</w:t>
            </w:r>
            <w:r>
              <w:rPr>
                <w:rFonts w:hint="eastAsia" w:cs="Times New Roman"/>
                <w:b/>
                <w:bCs/>
                <w:color w:val="000000"/>
                <w:sz w:val="21"/>
                <w:szCs w:val="21"/>
                <w:lang w:val="en-US" w:eastAsia="zh-CN"/>
              </w:rPr>
              <w:t>2</w:t>
            </w:r>
            <w:r>
              <w:rPr>
                <w:rFonts w:hint="eastAsia" w:ascii="Times New Roman" w:hAnsi="Times New Roman" w:eastAsia="宋体" w:cs="Times New Roman"/>
                <w:b/>
                <w:bCs/>
                <w:color w:val="000000"/>
                <w:sz w:val="21"/>
                <w:szCs w:val="21"/>
                <w:lang w:val="en-US" w:eastAsia="zh-CN"/>
              </w:rPr>
              <w:t xml:space="preserve">     项目厂区现有环境问题及</w:t>
            </w:r>
            <w:r>
              <w:rPr>
                <w:rFonts w:hint="eastAsia" w:cs="Times New Roman"/>
                <w:b/>
                <w:bCs/>
                <w:color w:val="000000"/>
                <w:sz w:val="21"/>
                <w:szCs w:val="21"/>
                <w:lang w:val="en-US" w:eastAsia="zh-CN"/>
              </w:rPr>
              <w:t>“</w:t>
            </w:r>
            <w:r>
              <w:rPr>
                <w:rFonts w:hint="eastAsia" w:ascii="Times New Roman" w:hAnsi="Times New Roman" w:eastAsia="宋体" w:cs="Times New Roman"/>
                <w:b/>
                <w:bCs/>
                <w:color w:val="000000"/>
                <w:sz w:val="21"/>
                <w:szCs w:val="21"/>
                <w:lang w:val="en-US" w:eastAsia="zh-CN"/>
              </w:rPr>
              <w:t>以新带老</w:t>
            </w:r>
            <w:r>
              <w:rPr>
                <w:rFonts w:hint="eastAsia" w:cs="Times New Roman"/>
                <w:b/>
                <w:bCs/>
                <w:color w:val="000000"/>
                <w:sz w:val="21"/>
                <w:szCs w:val="21"/>
                <w:lang w:val="en-US" w:eastAsia="zh-CN"/>
              </w:rPr>
              <w:t>”</w:t>
            </w:r>
            <w:r>
              <w:rPr>
                <w:rFonts w:hint="eastAsia" w:ascii="Times New Roman" w:hAnsi="Times New Roman" w:eastAsia="宋体" w:cs="Times New Roman"/>
                <w:b/>
                <w:bCs/>
                <w:color w:val="000000"/>
                <w:sz w:val="21"/>
                <w:szCs w:val="21"/>
                <w:lang w:val="en-US" w:eastAsia="zh-CN"/>
              </w:rPr>
              <w:t>措施</w:t>
            </w:r>
          </w:p>
          <w:tbl>
            <w:tblPr>
              <w:tblStyle w:val="30"/>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3775"/>
              <w:gridCol w:w="4040"/>
            </w:tblGrid>
            <w:tr w14:paraId="599AD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tcBorders>
                    <w:tl2br w:val="nil"/>
                    <w:tr2bl w:val="nil"/>
                  </w:tcBorders>
                  <w:noWrap w:val="0"/>
                  <w:vAlign w:val="center"/>
                </w:tcPr>
                <w:p w14:paraId="1A29EF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000000"/>
                      <w:sz w:val="21"/>
                      <w:szCs w:val="21"/>
                    </w:rPr>
                  </w:pPr>
                  <w:r>
                    <w:rPr>
                      <w:b/>
                      <w:bCs/>
                      <w:color w:val="000000"/>
                      <w:sz w:val="21"/>
                      <w:szCs w:val="21"/>
                    </w:rPr>
                    <w:t>序号</w:t>
                  </w:r>
                </w:p>
              </w:tc>
              <w:tc>
                <w:tcPr>
                  <w:tcW w:w="2259" w:type="pct"/>
                  <w:tcBorders>
                    <w:tl2br w:val="nil"/>
                    <w:tr2bl w:val="nil"/>
                  </w:tcBorders>
                  <w:noWrap w:val="0"/>
                  <w:vAlign w:val="center"/>
                </w:tcPr>
                <w:p w14:paraId="4F0F3C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b/>
                      <w:bCs/>
                      <w:color w:val="auto"/>
                      <w:sz w:val="21"/>
                      <w:szCs w:val="21"/>
                      <w:lang w:eastAsia="zh-CN"/>
                    </w:rPr>
                  </w:pPr>
                  <w:r>
                    <w:rPr>
                      <w:rFonts w:hint="eastAsia"/>
                      <w:b/>
                      <w:bCs/>
                      <w:color w:val="auto"/>
                      <w:sz w:val="21"/>
                      <w:szCs w:val="21"/>
                      <w:lang w:val="en-US" w:eastAsia="zh-CN"/>
                    </w:rPr>
                    <w:t>现有环境问题</w:t>
                  </w:r>
                </w:p>
              </w:tc>
              <w:tc>
                <w:tcPr>
                  <w:tcW w:w="2417" w:type="pct"/>
                  <w:tcBorders>
                    <w:tl2br w:val="nil"/>
                    <w:tr2bl w:val="nil"/>
                  </w:tcBorders>
                  <w:noWrap w:val="0"/>
                  <w:vAlign w:val="center"/>
                </w:tcPr>
                <w:p w14:paraId="5BEC480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整改措施</w:t>
                  </w:r>
                </w:p>
              </w:tc>
            </w:tr>
            <w:tr w14:paraId="7C7D8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22" w:type="pct"/>
                  <w:tcBorders>
                    <w:tl2br w:val="nil"/>
                    <w:tr2bl w:val="nil"/>
                  </w:tcBorders>
                  <w:noWrap w:val="0"/>
                  <w:vAlign w:val="center"/>
                </w:tcPr>
                <w:p w14:paraId="4D8AB3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1</w:t>
                  </w:r>
                </w:p>
              </w:tc>
              <w:tc>
                <w:tcPr>
                  <w:tcW w:w="2259" w:type="pct"/>
                  <w:tcBorders>
                    <w:tl2br w:val="nil"/>
                    <w:tr2bl w:val="nil"/>
                  </w:tcBorders>
                  <w:noWrap w:val="0"/>
                  <w:vAlign w:val="center"/>
                </w:tcPr>
                <w:p w14:paraId="3F89D0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sz w:val="21"/>
                      <w:szCs w:val="21"/>
                      <w:lang w:val="en-US" w:eastAsia="zh-CN"/>
                    </w:rPr>
                  </w:pPr>
                  <w:r>
                    <w:rPr>
                      <w:rFonts w:hint="eastAsia" w:ascii="Times New Roman" w:hAnsi="Times New Roman" w:eastAsia="宋体" w:cs="Times New Roman"/>
                      <w:b w:val="0"/>
                      <w:bCs/>
                      <w:color w:val="auto"/>
                      <w:spacing w:val="0"/>
                      <w:position w:val="0"/>
                      <w:sz w:val="21"/>
                      <w:szCs w:val="21"/>
                      <w:lang w:val="en-US" w:eastAsia="zh-CN"/>
                    </w:rPr>
                    <w:t>原项目使用光氧机处理有机废气，此环保措施处理效率低，处理水平较为落后已经淘汰</w:t>
                  </w:r>
                </w:p>
              </w:tc>
              <w:tc>
                <w:tcPr>
                  <w:tcW w:w="2417" w:type="pct"/>
                  <w:tcBorders>
                    <w:tl2br w:val="nil"/>
                    <w:tr2bl w:val="nil"/>
                  </w:tcBorders>
                  <w:noWrap w:val="0"/>
                  <w:vAlign w:val="center"/>
                </w:tcPr>
                <w:p w14:paraId="390C9E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b w:val="0"/>
                      <w:bCs/>
                      <w:color w:val="auto"/>
                      <w:spacing w:val="0"/>
                      <w:position w:val="0"/>
                      <w:sz w:val="21"/>
                      <w:szCs w:val="21"/>
                      <w:lang w:val="en-US" w:eastAsia="zh-CN"/>
                    </w:rPr>
                    <w:t>光氧机为淘汰类的处理措施，</w:t>
                  </w:r>
                  <w:r>
                    <w:rPr>
                      <w:rFonts w:hint="eastAsia" w:cs="Times New Roman"/>
                      <w:b w:val="0"/>
                      <w:bCs/>
                      <w:color w:val="auto"/>
                      <w:spacing w:val="0"/>
                      <w:position w:val="0"/>
                      <w:sz w:val="21"/>
                      <w:szCs w:val="21"/>
                      <w:lang w:val="en-US" w:eastAsia="zh-CN"/>
                    </w:rPr>
                    <w:t>现将</w:t>
                  </w:r>
                  <w:r>
                    <w:rPr>
                      <w:rFonts w:hint="eastAsia" w:ascii="Times New Roman" w:hAnsi="Times New Roman" w:eastAsia="宋体" w:cs="Times New Roman"/>
                      <w:b w:val="0"/>
                      <w:bCs/>
                      <w:color w:val="auto"/>
                      <w:spacing w:val="0"/>
                      <w:position w:val="0"/>
                      <w:sz w:val="21"/>
                      <w:szCs w:val="21"/>
                      <w:lang w:val="en-US" w:eastAsia="zh-CN"/>
                    </w:rPr>
                    <w:t>光氧机</w:t>
                  </w:r>
                  <w:r>
                    <w:rPr>
                      <w:rFonts w:hint="eastAsia" w:cs="Times New Roman"/>
                      <w:b w:val="0"/>
                      <w:bCs/>
                      <w:color w:val="auto"/>
                      <w:spacing w:val="0"/>
                      <w:position w:val="0"/>
                      <w:sz w:val="21"/>
                      <w:szCs w:val="21"/>
                      <w:lang w:val="en-US" w:eastAsia="zh-CN"/>
                    </w:rPr>
                    <w:t>拆除，本项目扩建后新增活性炭吸附脱附加催化燃烧器，新老车间公用一台活性炭吸附脱附加催化燃烧器设备处理有机废气</w:t>
                  </w:r>
                </w:p>
              </w:tc>
            </w:tr>
            <w:tr w14:paraId="18123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22" w:type="pct"/>
                  <w:tcBorders>
                    <w:tl2br w:val="nil"/>
                    <w:tr2bl w:val="nil"/>
                  </w:tcBorders>
                  <w:noWrap w:val="0"/>
                  <w:vAlign w:val="center"/>
                </w:tcPr>
                <w:p w14:paraId="63F368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2</w:t>
                  </w:r>
                </w:p>
              </w:tc>
              <w:tc>
                <w:tcPr>
                  <w:tcW w:w="2259" w:type="pct"/>
                  <w:tcBorders>
                    <w:tl2br w:val="nil"/>
                    <w:tr2bl w:val="nil"/>
                  </w:tcBorders>
                  <w:noWrap w:val="0"/>
                  <w:vAlign w:val="center"/>
                </w:tcPr>
                <w:p w14:paraId="3E0F3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ascii="Times New Roman" w:hAnsi="Times New Roman" w:eastAsia="宋体" w:cs="Times New Roman"/>
                      <w:b w:val="0"/>
                      <w:bCs/>
                      <w:color w:val="auto"/>
                      <w:spacing w:val="0"/>
                      <w:position w:val="0"/>
                      <w:sz w:val="21"/>
                      <w:szCs w:val="21"/>
                      <w:lang w:val="en-US" w:eastAsia="zh-CN"/>
                    </w:rPr>
                    <w:t>原项目没有建设防渗的危险废物暂存间</w:t>
                  </w:r>
                </w:p>
              </w:tc>
              <w:tc>
                <w:tcPr>
                  <w:tcW w:w="2417" w:type="pct"/>
                  <w:tcBorders>
                    <w:tl2br w:val="nil"/>
                    <w:tr2bl w:val="nil"/>
                  </w:tcBorders>
                  <w:noWrap w:val="0"/>
                  <w:vAlign w:val="center"/>
                </w:tcPr>
                <w:p w14:paraId="1009F7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本项目设置防渗的危废间于车间西侧</w:t>
                  </w:r>
                </w:p>
              </w:tc>
            </w:tr>
          </w:tbl>
          <w:p w14:paraId="5CFE25D5">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firstLine="420" w:firstLineChars="200"/>
              <w:jc w:val="left"/>
              <w:textAlignment w:val="auto"/>
              <w:rPr>
                <w:rFonts w:hint="default" w:cs="Times New Roman"/>
                <w:b w:val="0"/>
                <w:bCs/>
                <w:color w:val="0000FF"/>
                <w:spacing w:val="0"/>
                <w:position w:val="0"/>
                <w:sz w:val="21"/>
                <w:szCs w:val="21"/>
                <w:lang w:val="en-US" w:eastAsia="zh-CN"/>
              </w:rPr>
            </w:pPr>
          </w:p>
        </w:tc>
      </w:tr>
    </w:tbl>
    <w:p w14:paraId="0C748782">
      <w:pPr>
        <w:pStyle w:val="25"/>
        <w:jc w:val="center"/>
        <w:rPr>
          <w:rFonts w:ascii="Times New Roman" w:hAnsi="Times New Roman" w:eastAsia="黑体"/>
          <w:snapToGrid w:val="0"/>
          <w:color w:val="0000FF"/>
          <w:spacing w:val="0"/>
          <w:position w:val="0"/>
          <w:sz w:val="21"/>
          <w:szCs w:val="21"/>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B2350BC">
      <w:pPr>
        <w:pStyle w:val="25"/>
        <w:adjustRightInd w:val="0"/>
        <w:snapToGrid w:val="0"/>
        <w:spacing w:before="0" w:beforeAutospacing="0" w:after="0" w:afterAutospacing="0" w:line="15" w:lineRule="auto"/>
        <w:ind w:firstLine="600"/>
        <w:jc w:val="center"/>
        <w:rPr>
          <w:rFonts w:ascii="Times New Roman" w:hAnsi="Times New Roman" w:eastAsia="黑体"/>
          <w:snapToGrid w:val="0"/>
          <w:color w:val="0000FF"/>
          <w:spacing w:val="0"/>
          <w:position w:val="0"/>
          <w:sz w:val="21"/>
          <w:szCs w:val="21"/>
        </w:rPr>
      </w:pPr>
    </w:p>
    <w:p w14:paraId="2CC5CA86">
      <w:pPr>
        <w:pStyle w:val="25"/>
        <w:ind w:firstLine="0" w:firstLineChars="0"/>
        <w:jc w:val="center"/>
        <w:outlineLvl w:val="0"/>
        <w:rPr>
          <w:rFonts w:ascii="Times New Roman" w:hAnsi="Times New Roman" w:eastAsia="黑体"/>
          <w:snapToGrid w:val="0"/>
          <w:color w:val="auto"/>
          <w:spacing w:val="0"/>
          <w:position w:val="0"/>
          <w:sz w:val="30"/>
          <w:szCs w:val="30"/>
        </w:rPr>
      </w:pPr>
      <w:r>
        <w:rPr>
          <w:rFonts w:ascii="Times New Roman" w:hAnsi="Times New Roman" w:eastAsia="黑体"/>
          <w:snapToGrid w:val="0"/>
          <w:color w:val="auto"/>
          <w:spacing w:val="0"/>
          <w:position w:val="0"/>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8408"/>
      </w:tblGrid>
      <w:tr w14:paraId="225B1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53" w:type="dxa"/>
            <w:vAlign w:val="center"/>
          </w:tcPr>
          <w:p w14:paraId="5B44F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5F6C5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8E3E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B8BC8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E275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60BDB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6FE0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9F70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A1DA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2A4D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79B26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EA254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423A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F81F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2F6C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76BC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16D3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0BCB7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DFF9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区域环境质量现状</w:t>
            </w:r>
          </w:p>
          <w:p w14:paraId="0A197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51BAA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655F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79C9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2F27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1F5C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C26A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BBD8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2ABA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45559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5D353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854F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1E87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4436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2FFD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7B98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3DE2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F7D4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20196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557D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E8BA3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36CF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9E13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CD527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F0EE0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89260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968B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9C13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296B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FDD6E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1F4A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39DC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8079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A50E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2803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C89C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0C5D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B1FC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A2CD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B7CC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9F2F3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9A17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4625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93FF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86062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8135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3ED7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r>
              <w:rPr>
                <w:color w:val="auto"/>
                <w:spacing w:val="0"/>
                <w:kern w:val="0"/>
                <w:position w:val="0"/>
                <w:sz w:val="21"/>
                <w:szCs w:val="21"/>
              </w:rPr>
              <w:t>区域环境质量现状</w:t>
            </w:r>
          </w:p>
          <w:p w14:paraId="2AA58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57703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A5008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F7B1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F09A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6E66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42FD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C717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3444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57BE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1935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7590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81B5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B5D2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15FE0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D0F4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CEAF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3549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59AD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65D4D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843C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CB4BC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C864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6E95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30FB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6923B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044B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6AB6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FBDC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4262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5427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7B8A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3F97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43D51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388C7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DC65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DBDC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E591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21BB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AA12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B135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43DB0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D7B4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3FE0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257F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B45A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3362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6FA1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21607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F0EF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6E93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区域环境质量现状</w:t>
            </w:r>
          </w:p>
          <w:p w14:paraId="3550B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A67F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B879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3288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2D48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976A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DEE7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3E37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DAF1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86F6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ECA1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EA6C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36CE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4360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C090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8DC2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5B10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80E5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9436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14D9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719A9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FFDA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9913B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D2D5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0704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ED5B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4E83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FDB38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FE35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49F1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C2249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4886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CCDF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1C87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CEAC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680B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8ACAE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7B87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C027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C857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EF34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BC5C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FA97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1F7C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7275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9875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9AB4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区域环境质量现状</w:t>
            </w:r>
          </w:p>
          <w:p w14:paraId="6C8FB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BBF5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5E496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88D4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9270A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E10F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092CC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33979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60381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44DBE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25EA8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DCE68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A5CE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7010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B334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18162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77B86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p w14:paraId="2CDCA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pacing w:val="0"/>
                <w:kern w:val="0"/>
                <w:position w:val="0"/>
                <w:sz w:val="21"/>
                <w:szCs w:val="21"/>
              </w:rPr>
            </w:pPr>
          </w:p>
        </w:tc>
        <w:tc>
          <w:tcPr>
            <w:tcW w:w="8408" w:type="dxa"/>
            <w:vAlign w:val="center"/>
          </w:tcPr>
          <w:p w14:paraId="4EC475F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pacing w:val="0"/>
                <w:kern w:val="0"/>
                <w:position w:val="0"/>
                <w:sz w:val="21"/>
                <w:szCs w:val="21"/>
              </w:rPr>
            </w:pPr>
            <w:r>
              <w:rPr>
                <w:b/>
                <w:bCs/>
                <w:color w:val="auto"/>
                <w:spacing w:val="0"/>
                <w:kern w:val="0"/>
                <w:position w:val="0"/>
                <w:sz w:val="21"/>
                <w:szCs w:val="21"/>
              </w:rPr>
              <w:t>1环境空气质量现状</w:t>
            </w:r>
          </w:p>
          <w:p w14:paraId="5D7C448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color w:val="auto"/>
                <w:spacing w:val="0"/>
                <w:kern w:val="0"/>
                <w:position w:val="0"/>
                <w:sz w:val="21"/>
                <w:szCs w:val="21"/>
              </w:rPr>
            </w:pPr>
            <w:r>
              <w:rPr>
                <w:b/>
                <w:bCs/>
                <w:color w:val="auto"/>
                <w:spacing w:val="0"/>
                <w:kern w:val="0"/>
                <w:position w:val="0"/>
                <w:sz w:val="21"/>
                <w:szCs w:val="21"/>
              </w:rPr>
              <w:t>1.1空气环境质量现状调查</w:t>
            </w:r>
          </w:p>
          <w:p w14:paraId="0933B07E">
            <w:pPr>
              <w:keepNext w:val="0"/>
              <w:keepLines w:val="0"/>
              <w:pageBreakBefore w:val="0"/>
              <w:widowControl/>
              <w:suppressLineNumbers w:val="0"/>
              <w:kinsoku/>
              <w:wordWrap/>
              <w:overflowPunct/>
              <w:topLinePunct w:val="0"/>
              <w:autoSpaceDE/>
              <w:autoSpaceDN/>
              <w:bidi w:val="0"/>
              <w:spacing w:line="360" w:lineRule="auto"/>
              <w:jc w:val="both"/>
              <w:textAlignment w:val="auto"/>
              <w:rPr>
                <w:color w:val="auto"/>
                <w:spacing w:val="0"/>
                <w:kern w:val="0"/>
                <w:position w:val="0"/>
                <w:sz w:val="21"/>
                <w:szCs w:val="21"/>
              </w:rPr>
            </w:pPr>
            <w:r>
              <w:rPr>
                <w:rFonts w:hint="eastAsia"/>
                <w:color w:val="auto"/>
                <w:spacing w:val="0"/>
                <w:position w:val="0"/>
                <w:sz w:val="21"/>
                <w:szCs w:val="21"/>
              </w:rPr>
              <w:t>根据建设项目所在具体位置、当地的气象、地形和环境功能等因素，</w:t>
            </w:r>
            <w:r>
              <w:rPr>
                <w:rFonts w:hint="eastAsia"/>
                <w:color w:val="auto"/>
                <w:spacing w:val="0"/>
                <w:position w:val="0"/>
                <w:sz w:val="21"/>
                <w:szCs w:val="21"/>
                <w:lang w:eastAsia="zh-CN"/>
              </w:rPr>
              <w:t>按照</w:t>
            </w:r>
            <w:r>
              <w:rPr>
                <w:rFonts w:hint="eastAsia"/>
                <w:color w:val="auto"/>
                <w:spacing w:val="0"/>
                <w:position w:val="0"/>
                <w:sz w:val="21"/>
                <w:szCs w:val="21"/>
              </w:rPr>
              <w:t>《环境影响评价技术导则</w:t>
            </w:r>
            <w:r>
              <w:rPr>
                <w:rFonts w:hint="eastAsia"/>
                <w:color w:val="auto"/>
                <w:spacing w:val="0"/>
                <w:position w:val="0"/>
                <w:sz w:val="21"/>
                <w:szCs w:val="21"/>
                <w:lang w:val="en-US" w:eastAsia="zh-CN"/>
              </w:rPr>
              <w:t xml:space="preserve"> </w:t>
            </w:r>
            <w:r>
              <w:rPr>
                <w:rFonts w:hint="eastAsia"/>
                <w:color w:val="auto"/>
                <w:spacing w:val="0"/>
                <w:position w:val="0"/>
                <w:sz w:val="21"/>
                <w:szCs w:val="21"/>
              </w:rPr>
              <w:t>大气环境》（HJ2.2-</w:t>
            </w:r>
            <w:r>
              <w:rPr>
                <w:rFonts w:hint="eastAsia" w:ascii="Times New Roman" w:hAnsi="Times New Roman" w:eastAsia="宋体" w:cs="Times New Roman"/>
                <w:color w:val="auto"/>
                <w:spacing w:val="0"/>
                <w:position w:val="0"/>
                <w:sz w:val="21"/>
                <w:szCs w:val="21"/>
              </w:rPr>
              <w:t>2018）的要求，本环评引用</w:t>
            </w:r>
            <w:r>
              <w:rPr>
                <w:rFonts w:hint="default" w:ascii="Times New Roman" w:hAnsi="Times New Roman" w:eastAsia="宋体" w:cs="Times New Roman"/>
                <w:color w:val="auto"/>
                <w:spacing w:val="0"/>
                <w:position w:val="0"/>
                <w:sz w:val="21"/>
                <w:szCs w:val="21"/>
              </w:rPr>
              <w:t>独山子区监测站发布的2022年空气质量状况数据</w:t>
            </w:r>
            <w:r>
              <w:rPr>
                <w:rFonts w:hint="eastAsia" w:ascii="Times New Roman" w:hAnsi="Times New Roman" w:eastAsia="宋体" w:cs="Times New Roman"/>
                <w:color w:val="auto"/>
                <w:spacing w:val="0"/>
                <w:position w:val="0"/>
                <w:sz w:val="21"/>
                <w:szCs w:val="21"/>
              </w:rPr>
              <w:t>，本次</w:t>
            </w:r>
            <w:r>
              <w:rPr>
                <w:rFonts w:hint="eastAsia"/>
                <w:color w:val="auto"/>
                <w:spacing w:val="0"/>
                <w:position w:val="0"/>
                <w:sz w:val="21"/>
                <w:szCs w:val="21"/>
              </w:rPr>
              <w:t>评价环境空气质量现状监测项目为</w:t>
            </w:r>
            <w:r>
              <w:rPr>
                <w:color w:val="auto"/>
                <w:spacing w:val="0"/>
                <w:position w:val="0"/>
                <w:sz w:val="21"/>
                <w:szCs w:val="21"/>
              </w:rPr>
              <w:t>：SO</w:t>
            </w:r>
            <w:r>
              <w:rPr>
                <w:color w:val="auto"/>
                <w:spacing w:val="0"/>
                <w:position w:val="0"/>
                <w:sz w:val="21"/>
                <w:szCs w:val="21"/>
                <w:vertAlign w:val="subscript"/>
              </w:rPr>
              <w:t>2</w:t>
            </w:r>
            <w:r>
              <w:rPr>
                <w:color w:val="auto"/>
                <w:spacing w:val="0"/>
                <w:position w:val="0"/>
                <w:sz w:val="21"/>
                <w:szCs w:val="21"/>
              </w:rPr>
              <w:t>、NO</w:t>
            </w:r>
            <w:r>
              <w:rPr>
                <w:color w:val="auto"/>
                <w:spacing w:val="0"/>
                <w:position w:val="0"/>
                <w:sz w:val="21"/>
                <w:szCs w:val="21"/>
                <w:vertAlign w:val="subscript"/>
              </w:rPr>
              <w:t>2</w:t>
            </w:r>
            <w:r>
              <w:rPr>
                <w:color w:val="auto"/>
                <w:spacing w:val="0"/>
                <w:position w:val="0"/>
                <w:sz w:val="21"/>
                <w:szCs w:val="21"/>
              </w:rPr>
              <w:t>、PM</w:t>
            </w:r>
            <w:r>
              <w:rPr>
                <w:color w:val="auto"/>
                <w:spacing w:val="0"/>
                <w:position w:val="0"/>
                <w:sz w:val="21"/>
                <w:szCs w:val="21"/>
                <w:vertAlign w:val="subscript"/>
              </w:rPr>
              <w:t>10</w:t>
            </w:r>
            <w:r>
              <w:rPr>
                <w:color w:val="auto"/>
                <w:spacing w:val="0"/>
                <w:position w:val="0"/>
                <w:sz w:val="21"/>
                <w:szCs w:val="21"/>
              </w:rPr>
              <w:t>、PM</w:t>
            </w:r>
            <w:r>
              <w:rPr>
                <w:color w:val="auto"/>
                <w:spacing w:val="0"/>
                <w:position w:val="0"/>
                <w:sz w:val="21"/>
                <w:szCs w:val="21"/>
                <w:vertAlign w:val="subscript"/>
              </w:rPr>
              <w:t>2.5</w:t>
            </w:r>
            <w:r>
              <w:rPr>
                <w:color w:val="auto"/>
                <w:spacing w:val="0"/>
                <w:position w:val="0"/>
                <w:sz w:val="21"/>
                <w:szCs w:val="21"/>
              </w:rPr>
              <w:t>、CO、O</w:t>
            </w:r>
            <w:r>
              <w:rPr>
                <w:color w:val="auto"/>
                <w:spacing w:val="0"/>
                <w:position w:val="0"/>
                <w:sz w:val="21"/>
                <w:szCs w:val="21"/>
                <w:vertAlign w:val="subscript"/>
              </w:rPr>
              <w:t>3</w:t>
            </w:r>
            <w:r>
              <w:rPr>
                <w:color w:val="auto"/>
                <w:spacing w:val="0"/>
                <w:position w:val="0"/>
                <w:sz w:val="21"/>
                <w:szCs w:val="21"/>
              </w:rPr>
              <w:t>、</w:t>
            </w:r>
            <w:r>
              <w:rPr>
                <w:rFonts w:hint="eastAsia"/>
                <w:color w:val="auto"/>
                <w:spacing w:val="0"/>
                <w:position w:val="0"/>
                <w:sz w:val="21"/>
                <w:szCs w:val="21"/>
                <w:lang w:val="en-US" w:eastAsia="zh-CN"/>
              </w:rPr>
              <w:t>非甲烷总烃</w:t>
            </w:r>
            <w:r>
              <w:rPr>
                <w:color w:val="auto"/>
                <w:spacing w:val="0"/>
                <w:position w:val="0"/>
                <w:sz w:val="21"/>
                <w:szCs w:val="21"/>
              </w:rPr>
              <w:t>。</w:t>
            </w:r>
          </w:p>
          <w:p w14:paraId="4C70F33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color w:val="auto"/>
                <w:spacing w:val="0"/>
                <w:kern w:val="0"/>
                <w:position w:val="0"/>
                <w:sz w:val="21"/>
                <w:szCs w:val="21"/>
              </w:rPr>
            </w:pPr>
            <w:r>
              <w:rPr>
                <w:b/>
                <w:bCs/>
                <w:color w:val="auto"/>
                <w:spacing w:val="0"/>
                <w:kern w:val="0"/>
                <w:position w:val="0"/>
                <w:sz w:val="21"/>
                <w:szCs w:val="21"/>
              </w:rPr>
              <w:t>1.2监测项目及分析方法</w:t>
            </w:r>
          </w:p>
          <w:p w14:paraId="089243F2">
            <w:pPr>
              <w:keepNext w:val="0"/>
              <w:keepLines w:val="0"/>
              <w:pageBreakBefore w:val="0"/>
              <w:kinsoku/>
              <w:wordWrap/>
              <w:overflowPunct/>
              <w:topLinePunct w:val="0"/>
              <w:autoSpaceDE/>
              <w:autoSpaceDN/>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环境空气质量监测项目为：SO</w:t>
            </w:r>
            <w:r>
              <w:rPr>
                <w:color w:val="auto"/>
                <w:spacing w:val="0"/>
                <w:kern w:val="0"/>
                <w:position w:val="0"/>
                <w:sz w:val="21"/>
                <w:szCs w:val="21"/>
                <w:vertAlign w:val="subscript"/>
              </w:rPr>
              <w:t>2</w:t>
            </w:r>
            <w:r>
              <w:rPr>
                <w:color w:val="auto"/>
                <w:spacing w:val="0"/>
                <w:kern w:val="0"/>
                <w:position w:val="0"/>
                <w:sz w:val="21"/>
                <w:szCs w:val="21"/>
              </w:rPr>
              <w:t>、NO</w:t>
            </w:r>
            <w:r>
              <w:rPr>
                <w:color w:val="auto"/>
                <w:spacing w:val="0"/>
                <w:kern w:val="0"/>
                <w:position w:val="0"/>
                <w:sz w:val="21"/>
                <w:szCs w:val="21"/>
                <w:vertAlign w:val="subscript"/>
              </w:rPr>
              <w:t>2</w:t>
            </w:r>
            <w:r>
              <w:rPr>
                <w:color w:val="auto"/>
                <w:spacing w:val="0"/>
                <w:kern w:val="0"/>
                <w:position w:val="0"/>
                <w:sz w:val="21"/>
                <w:szCs w:val="21"/>
              </w:rPr>
              <w:t>、PM</w:t>
            </w:r>
            <w:r>
              <w:rPr>
                <w:color w:val="auto"/>
                <w:spacing w:val="0"/>
                <w:kern w:val="0"/>
                <w:position w:val="0"/>
                <w:sz w:val="21"/>
                <w:szCs w:val="21"/>
                <w:vertAlign w:val="subscript"/>
              </w:rPr>
              <w:t>10</w:t>
            </w:r>
            <w:r>
              <w:rPr>
                <w:color w:val="auto"/>
                <w:spacing w:val="0"/>
                <w:kern w:val="0"/>
                <w:position w:val="0"/>
                <w:sz w:val="21"/>
                <w:szCs w:val="21"/>
              </w:rPr>
              <w:t>、PM</w:t>
            </w:r>
            <w:r>
              <w:rPr>
                <w:color w:val="auto"/>
                <w:spacing w:val="0"/>
                <w:kern w:val="0"/>
                <w:position w:val="0"/>
                <w:sz w:val="21"/>
                <w:szCs w:val="21"/>
                <w:vertAlign w:val="subscript"/>
              </w:rPr>
              <w:t>2.5</w:t>
            </w:r>
            <w:r>
              <w:rPr>
                <w:color w:val="auto"/>
                <w:spacing w:val="0"/>
                <w:kern w:val="0"/>
                <w:position w:val="0"/>
                <w:sz w:val="21"/>
                <w:szCs w:val="21"/>
              </w:rPr>
              <w:t>、CO、O</w:t>
            </w:r>
            <w:r>
              <w:rPr>
                <w:color w:val="auto"/>
                <w:spacing w:val="0"/>
                <w:kern w:val="0"/>
                <w:position w:val="0"/>
                <w:sz w:val="21"/>
                <w:szCs w:val="21"/>
                <w:vertAlign w:val="subscript"/>
              </w:rPr>
              <w:t>3</w:t>
            </w:r>
            <w:r>
              <w:rPr>
                <w:color w:val="auto"/>
                <w:spacing w:val="0"/>
                <w:kern w:val="0"/>
                <w:position w:val="0"/>
                <w:sz w:val="21"/>
                <w:szCs w:val="21"/>
              </w:rPr>
              <w:t>。各项目的采样及分析方法均按国家有关规定执行。</w:t>
            </w:r>
          </w:p>
          <w:p w14:paraId="4D4351F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bCs/>
                <w:color w:val="auto"/>
                <w:spacing w:val="0"/>
                <w:kern w:val="0"/>
                <w:position w:val="0"/>
                <w:sz w:val="21"/>
                <w:szCs w:val="21"/>
              </w:rPr>
            </w:pPr>
            <w:r>
              <w:rPr>
                <w:b/>
                <w:bCs/>
                <w:color w:val="auto"/>
                <w:spacing w:val="0"/>
                <w:kern w:val="0"/>
                <w:position w:val="0"/>
                <w:sz w:val="21"/>
                <w:szCs w:val="21"/>
              </w:rPr>
              <w:t>1.3环境空气质量评价</w:t>
            </w:r>
          </w:p>
          <w:p w14:paraId="711FBC0B">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color w:val="auto"/>
                <w:spacing w:val="0"/>
                <w:kern w:val="0"/>
                <w:position w:val="0"/>
                <w:sz w:val="21"/>
                <w:szCs w:val="21"/>
              </w:rPr>
            </w:pPr>
            <w:r>
              <w:rPr>
                <w:b/>
                <w:bCs/>
                <w:color w:val="auto"/>
                <w:spacing w:val="0"/>
                <w:kern w:val="0"/>
                <w:position w:val="0"/>
                <w:sz w:val="21"/>
                <w:szCs w:val="21"/>
              </w:rPr>
              <w:t>1.3.1评价标准</w:t>
            </w:r>
          </w:p>
          <w:p w14:paraId="1A2AF70E">
            <w:pPr>
              <w:keepNext w:val="0"/>
              <w:keepLines w:val="0"/>
              <w:pageBreakBefore w:val="0"/>
              <w:kinsoku/>
              <w:wordWrap/>
              <w:overflowPunct/>
              <w:topLinePunct w:val="0"/>
              <w:autoSpaceDE/>
              <w:autoSpaceDN/>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环境空气中的SO</w:t>
            </w:r>
            <w:r>
              <w:rPr>
                <w:color w:val="auto"/>
                <w:spacing w:val="0"/>
                <w:kern w:val="0"/>
                <w:position w:val="0"/>
                <w:sz w:val="21"/>
                <w:szCs w:val="21"/>
                <w:vertAlign w:val="subscript"/>
              </w:rPr>
              <w:t>2</w:t>
            </w:r>
            <w:r>
              <w:rPr>
                <w:color w:val="auto"/>
                <w:spacing w:val="0"/>
                <w:kern w:val="0"/>
                <w:position w:val="0"/>
                <w:sz w:val="21"/>
                <w:szCs w:val="21"/>
              </w:rPr>
              <w:t>、NO</w:t>
            </w:r>
            <w:r>
              <w:rPr>
                <w:color w:val="auto"/>
                <w:spacing w:val="0"/>
                <w:kern w:val="0"/>
                <w:position w:val="0"/>
                <w:sz w:val="21"/>
                <w:szCs w:val="21"/>
                <w:vertAlign w:val="subscript"/>
              </w:rPr>
              <w:t>2</w:t>
            </w:r>
            <w:r>
              <w:rPr>
                <w:color w:val="auto"/>
                <w:spacing w:val="0"/>
                <w:kern w:val="0"/>
                <w:position w:val="0"/>
                <w:sz w:val="21"/>
                <w:szCs w:val="21"/>
              </w:rPr>
              <w:t>、PM</w:t>
            </w:r>
            <w:r>
              <w:rPr>
                <w:color w:val="auto"/>
                <w:spacing w:val="0"/>
                <w:kern w:val="0"/>
                <w:position w:val="0"/>
                <w:sz w:val="21"/>
                <w:szCs w:val="21"/>
                <w:vertAlign w:val="subscript"/>
              </w:rPr>
              <w:t>10</w:t>
            </w:r>
            <w:r>
              <w:rPr>
                <w:color w:val="auto"/>
                <w:spacing w:val="0"/>
                <w:kern w:val="0"/>
                <w:position w:val="0"/>
                <w:sz w:val="21"/>
                <w:szCs w:val="21"/>
              </w:rPr>
              <w:t>、PM</w:t>
            </w:r>
            <w:r>
              <w:rPr>
                <w:color w:val="auto"/>
                <w:spacing w:val="0"/>
                <w:kern w:val="0"/>
                <w:position w:val="0"/>
                <w:sz w:val="21"/>
                <w:szCs w:val="21"/>
                <w:vertAlign w:val="subscript"/>
              </w:rPr>
              <w:t>2.5</w:t>
            </w:r>
            <w:r>
              <w:rPr>
                <w:color w:val="auto"/>
                <w:spacing w:val="0"/>
                <w:kern w:val="0"/>
                <w:position w:val="0"/>
                <w:sz w:val="21"/>
                <w:szCs w:val="21"/>
              </w:rPr>
              <w:t>、CO、O</w:t>
            </w:r>
            <w:r>
              <w:rPr>
                <w:color w:val="auto"/>
                <w:spacing w:val="0"/>
                <w:kern w:val="0"/>
                <w:position w:val="0"/>
                <w:sz w:val="21"/>
                <w:szCs w:val="21"/>
                <w:vertAlign w:val="subscript"/>
              </w:rPr>
              <w:t>3</w:t>
            </w:r>
            <w:r>
              <w:rPr>
                <w:color w:val="auto"/>
                <w:spacing w:val="0"/>
                <w:kern w:val="0"/>
                <w:position w:val="0"/>
                <w:sz w:val="21"/>
                <w:szCs w:val="21"/>
              </w:rPr>
              <w:t>执行《环境空气质量标准》（GB3095—2012）及其修改单，标准值见表</w:t>
            </w:r>
            <w:r>
              <w:rPr>
                <w:rFonts w:hint="eastAsia"/>
                <w:color w:val="auto"/>
                <w:spacing w:val="0"/>
                <w:kern w:val="0"/>
                <w:position w:val="0"/>
                <w:sz w:val="21"/>
                <w:szCs w:val="21"/>
              </w:rPr>
              <w:t>3-1</w:t>
            </w:r>
            <w:r>
              <w:rPr>
                <w:color w:val="auto"/>
                <w:spacing w:val="0"/>
                <w:kern w:val="0"/>
                <w:position w:val="0"/>
                <w:sz w:val="21"/>
                <w:szCs w:val="21"/>
              </w:rPr>
              <w:t>。</w:t>
            </w:r>
          </w:p>
          <w:p w14:paraId="7B254268">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3-1</w:t>
            </w:r>
            <w:r>
              <w:rPr>
                <w:rFonts w:hint="default" w:ascii="Times New Roman" w:hAnsi="Times New Roman" w:eastAsia="宋体" w:cs="Times New Roman"/>
                <w:b/>
                <w:snapToGrid w:val="0"/>
                <w:color w:val="auto"/>
                <w:spacing w:val="0"/>
                <w:kern w:val="0"/>
                <w:position w:val="0"/>
                <w:sz w:val="21"/>
                <w:szCs w:val="21"/>
                <w:lang w:val="en-US" w:eastAsia="zh-CN"/>
              </w:rPr>
              <w:t xml:space="preserve">   环境空气质量标准（mg/m</w:t>
            </w:r>
            <w:r>
              <w:rPr>
                <w:rFonts w:hint="default" w:ascii="Times New Roman" w:hAnsi="Times New Roman" w:eastAsia="宋体" w:cs="Times New Roman"/>
                <w:b/>
                <w:snapToGrid w:val="0"/>
                <w:color w:val="auto"/>
                <w:spacing w:val="0"/>
                <w:kern w:val="0"/>
                <w:position w:val="0"/>
                <w:sz w:val="21"/>
                <w:szCs w:val="21"/>
                <w:vertAlign w:val="superscript"/>
                <w:lang w:val="en-US" w:eastAsia="zh-CN"/>
              </w:rPr>
              <w:t>3</w:t>
            </w:r>
            <w:r>
              <w:rPr>
                <w:rFonts w:hint="default" w:ascii="Times New Roman" w:hAnsi="Times New Roman" w:eastAsia="宋体" w:cs="Times New Roman"/>
                <w:b/>
                <w:snapToGrid w:val="0"/>
                <w:color w:val="auto"/>
                <w:spacing w:val="0"/>
                <w:kern w:val="0"/>
                <w:position w:val="0"/>
                <w:sz w:val="21"/>
                <w:szCs w:val="21"/>
                <w:lang w:val="en-US" w:eastAsia="zh-CN"/>
              </w:rPr>
              <w:t>）（二级）</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3142"/>
              <w:gridCol w:w="2297"/>
            </w:tblGrid>
            <w:tr w14:paraId="04B3D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noWrap w:val="0"/>
                  <w:vAlign w:val="center"/>
                </w:tcPr>
                <w:p w14:paraId="36E5A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污染物名称</w:t>
                  </w:r>
                </w:p>
              </w:tc>
              <w:tc>
                <w:tcPr>
                  <w:tcW w:w="1924" w:type="pct"/>
                  <w:tcBorders>
                    <w:tl2br w:val="nil"/>
                    <w:tr2bl w:val="nil"/>
                  </w:tcBorders>
                  <w:noWrap w:val="0"/>
                  <w:vAlign w:val="center"/>
                </w:tcPr>
                <w:p w14:paraId="4348C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取值时间</w:t>
                  </w:r>
                </w:p>
              </w:tc>
              <w:tc>
                <w:tcPr>
                  <w:tcW w:w="1407" w:type="pct"/>
                  <w:tcBorders>
                    <w:tl2br w:val="nil"/>
                    <w:tr2bl w:val="nil"/>
                  </w:tcBorders>
                  <w:noWrap w:val="0"/>
                  <w:vAlign w:val="center"/>
                </w:tcPr>
                <w:p w14:paraId="22F83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二级标准浓度限值</w:t>
                  </w:r>
                </w:p>
              </w:tc>
            </w:tr>
            <w:tr w14:paraId="738BD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restart"/>
                  <w:tcBorders>
                    <w:tl2br w:val="nil"/>
                    <w:tr2bl w:val="nil"/>
                  </w:tcBorders>
                  <w:noWrap w:val="0"/>
                  <w:vAlign w:val="center"/>
                </w:tcPr>
                <w:p w14:paraId="61E66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SO</w:t>
                  </w:r>
                  <w:r>
                    <w:rPr>
                      <w:rFonts w:hint="default" w:ascii="Times New Roman" w:hAnsi="Times New Roman" w:eastAsia="宋体" w:cs="Times New Roman"/>
                      <w:b w:val="0"/>
                      <w:bCs w:val="0"/>
                      <w:color w:val="auto"/>
                      <w:sz w:val="21"/>
                      <w:szCs w:val="21"/>
                      <w:vertAlign w:val="subscript"/>
                    </w:rPr>
                    <w:t>2</w:t>
                  </w:r>
                </w:p>
              </w:tc>
              <w:tc>
                <w:tcPr>
                  <w:tcW w:w="1924" w:type="pct"/>
                  <w:tcBorders>
                    <w:tl2br w:val="nil"/>
                    <w:tr2bl w:val="nil"/>
                  </w:tcBorders>
                  <w:noWrap w:val="0"/>
                  <w:vAlign w:val="center"/>
                </w:tcPr>
                <w:p w14:paraId="1CB08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年均值</w:t>
                  </w:r>
                </w:p>
              </w:tc>
              <w:tc>
                <w:tcPr>
                  <w:tcW w:w="1407" w:type="pct"/>
                  <w:tcBorders>
                    <w:tl2br w:val="nil"/>
                    <w:tr2bl w:val="nil"/>
                  </w:tcBorders>
                  <w:noWrap w:val="0"/>
                  <w:vAlign w:val="center"/>
                </w:tcPr>
                <w:p w14:paraId="59553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r>
            <w:tr w14:paraId="65DC5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continue"/>
                  <w:tcBorders>
                    <w:tl2br w:val="nil"/>
                    <w:tr2bl w:val="nil"/>
                  </w:tcBorders>
                  <w:noWrap w:val="0"/>
                  <w:vAlign w:val="center"/>
                </w:tcPr>
                <w:p w14:paraId="6A2F5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924" w:type="pct"/>
                  <w:tcBorders>
                    <w:tl2br w:val="nil"/>
                    <w:tr2bl w:val="nil"/>
                  </w:tcBorders>
                  <w:noWrap w:val="0"/>
                  <w:vAlign w:val="center"/>
                </w:tcPr>
                <w:p w14:paraId="10726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日均值</w:t>
                  </w:r>
                </w:p>
              </w:tc>
              <w:tc>
                <w:tcPr>
                  <w:tcW w:w="1407" w:type="pct"/>
                  <w:tcBorders>
                    <w:tl2br w:val="nil"/>
                    <w:tr2bl w:val="nil"/>
                  </w:tcBorders>
                  <w:noWrap w:val="0"/>
                  <w:vAlign w:val="center"/>
                </w:tcPr>
                <w:p w14:paraId="48B2E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r>
            <w:tr w14:paraId="72BDD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restart"/>
                  <w:tcBorders>
                    <w:tl2br w:val="nil"/>
                    <w:tr2bl w:val="nil"/>
                  </w:tcBorders>
                  <w:noWrap w:val="0"/>
                  <w:vAlign w:val="center"/>
                </w:tcPr>
                <w:p w14:paraId="2BB58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NO</w:t>
                  </w:r>
                  <w:r>
                    <w:rPr>
                      <w:rFonts w:hint="default" w:ascii="Times New Roman" w:hAnsi="Times New Roman" w:eastAsia="宋体" w:cs="Times New Roman"/>
                      <w:b w:val="0"/>
                      <w:bCs w:val="0"/>
                      <w:color w:val="auto"/>
                      <w:sz w:val="21"/>
                      <w:szCs w:val="21"/>
                      <w:vertAlign w:val="subscript"/>
                    </w:rPr>
                    <w:t>2</w:t>
                  </w:r>
                </w:p>
              </w:tc>
              <w:tc>
                <w:tcPr>
                  <w:tcW w:w="1924" w:type="pct"/>
                  <w:tcBorders>
                    <w:tl2br w:val="nil"/>
                    <w:tr2bl w:val="nil"/>
                  </w:tcBorders>
                  <w:noWrap w:val="0"/>
                  <w:vAlign w:val="center"/>
                </w:tcPr>
                <w:p w14:paraId="23D63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年均值</w:t>
                  </w:r>
                </w:p>
              </w:tc>
              <w:tc>
                <w:tcPr>
                  <w:tcW w:w="1407" w:type="pct"/>
                  <w:tcBorders>
                    <w:tl2br w:val="nil"/>
                    <w:tr2bl w:val="nil"/>
                  </w:tcBorders>
                  <w:noWrap w:val="0"/>
                  <w:vAlign w:val="center"/>
                </w:tcPr>
                <w:p w14:paraId="7C3E4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14:paraId="6D265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continue"/>
                  <w:tcBorders>
                    <w:tl2br w:val="nil"/>
                    <w:tr2bl w:val="nil"/>
                  </w:tcBorders>
                  <w:noWrap w:val="0"/>
                  <w:vAlign w:val="center"/>
                </w:tcPr>
                <w:p w14:paraId="43769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924" w:type="pct"/>
                  <w:tcBorders>
                    <w:tl2br w:val="nil"/>
                    <w:tr2bl w:val="nil"/>
                  </w:tcBorders>
                  <w:noWrap w:val="0"/>
                  <w:vAlign w:val="center"/>
                </w:tcPr>
                <w:p w14:paraId="6F314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日均值</w:t>
                  </w:r>
                </w:p>
              </w:tc>
              <w:tc>
                <w:tcPr>
                  <w:tcW w:w="1407" w:type="pct"/>
                  <w:tcBorders>
                    <w:tl2br w:val="nil"/>
                    <w:tr2bl w:val="nil"/>
                  </w:tcBorders>
                  <w:noWrap w:val="0"/>
                  <w:vAlign w:val="center"/>
                </w:tcPr>
                <w:p w14:paraId="0DD5F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w:t>
                  </w:r>
                </w:p>
              </w:tc>
            </w:tr>
            <w:tr w14:paraId="62CC2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restart"/>
                  <w:tcBorders>
                    <w:tl2br w:val="nil"/>
                    <w:tr2bl w:val="nil"/>
                  </w:tcBorders>
                  <w:noWrap w:val="0"/>
                  <w:vAlign w:val="center"/>
                </w:tcPr>
                <w:p w14:paraId="39D7C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10</w:t>
                  </w:r>
                </w:p>
              </w:tc>
              <w:tc>
                <w:tcPr>
                  <w:tcW w:w="1924" w:type="pct"/>
                  <w:tcBorders>
                    <w:tl2br w:val="nil"/>
                    <w:tr2bl w:val="nil"/>
                  </w:tcBorders>
                  <w:noWrap w:val="0"/>
                  <w:vAlign w:val="center"/>
                </w:tcPr>
                <w:p w14:paraId="0AE98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年均值</w:t>
                  </w:r>
                </w:p>
              </w:tc>
              <w:tc>
                <w:tcPr>
                  <w:tcW w:w="1407" w:type="pct"/>
                  <w:tcBorders>
                    <w:tl2br w:val="nil"/>
                    <w:tr2bl w:val="nil"/>
                  </w:tcBorders>
                  <w:noWrap w:val="0"/>
                  <w:vAlign w:val="center"/>
                </w:tcPr>
                <w:p w14:paraId="027FB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w:t>
                  </w:r>
                </w:p>
              </w:tc>
            </w:tr>
            <w:tr w14:paraId="19273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continue"/>
                  <w:tcBorders>
                    <w:tl2br w:val="nil"/>
                    <w:tr2bl w:val="nil"/>
                  </w:tcBorders>
                  <w:noWrap w:val="0"/>
                  <w:vAlign w:val="center"/>
                </w:tcPr>
                <w:p w14:paraId="649F1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924" w:type="pct"/>
                  <w:tcBorders>
                    <w:tl2br w:val="nil"/>
                    <w:tr2bl w:val="nil"/>
                  </w:tcBorders>
                  <w:noWrap w:val="0"/>
                  <w:vAlign w:val="center"/>
                </w:tcPr>
                <w:p w14:paraId="59614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日均值</w:t>
                  </w:r>
                </w:p>
              </w:tc>
              <w:tc>
                <w:tcPr>
                  <w:tcW w:w="1407" w:type="pct"/>
                  <w:tcBorders>
                    <w:tl2br w:val="nil"/>
                    <w:tr2bl w:val="nil"/>
                  </w:tcBorders>
                  <w:noWrap w:val="0"/>
                  <w:vAlign w:val="center"/>
                </w:tcPr>
                <w:p w14:paraId="4D66E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r>
            <w:tr w14:paraId="70618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restart"/>
                  <w:tcBorders>
                    <w:tl2br w:val="nil"/>
                    <w:tr2bl w:val="nil"/>
                  </w:tcBorders>
                  <w:noWrap w:val="0"/>
                  <w:vAlign w:val="center"/>
                </w:tcPr>
                <w:p w14:paraId="7472A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2.5</w:t>
                  </w:r>
                </w:p>
              </w:tc>
              <w:tc>
                <w:tcPr>
                  <w:tcW w:w="1924" w:type="pct"/>
                  <w:tcBorders>
                    <w:tl2br w:val="nil"/>
                    <w:tr2bl w:val="nil"/>
                  </w:tcBorders>
                  <w:noWrap w:val="0"/>
                  <w:vAlign w:val="center"/>
                </w:tcPr>
                <w:p w14:paraId="57C6D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年均值</w:t>
                  </w:r>
                </w:p>
              </w:tc>
              <w:tc>
                <w:tcPr>
                  <w:tcW w:w="1407" w:type="pct"/>
                  <w:tcBorders>
                    <w:tl2br w:val="nil"/>
                    <w:tr2bl w:val="nil"/>
                  </w:tcBorders>
                  <w:noWrap w:val="0"/>
                  <w:vAlign w:val="center"/>
                </w:tcPr>
                <w:p w14:paraId="0A4DC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r>
            <w:tr w14:paraId="00F44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vMerge w:val="continue"/>
                  <w:tcBorders>
                    <w:tl2br w:val="nil"/>
                    <w:tr2bl w:val="nil"/>
                  </w:tcBorders>
                  <w:noWrap w:val="0"/>
                  <w:vAlign w:val="center"/>
                </w:tcPr>
                <w:p w14:paraId="49F37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924" w:type="pct"/>
                  <w:tcBorders>
                    <w:tl2br w:val="nil"/>
                    <w:tr2bl w:val="nil"/>
                  </w:tcBorders>
                  <w:noWrap w:val="0"/>
                  <w:vAlign w:val="center"/>
                </w:tcPr>
                <w:p w14:paraId="1A2C6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日均值</w:t>
                  </w:r>
                </w:p>
              </w:tc>
              <w:tc>
                <w:tcPr>
                  <w:tcW w:w="1407" w:type="pct"/>
                  <w:tcBorders>
                    <w:tl2br w:val="nil"/>
                    <w:tr2bl w:val="nil"/>
                  </w:tcBorders>
                  <w:noWrap w:val="0"/>
                  <w:vAlign w:val="center"/>
                </w:tcPr>
                <w:p w14:paraId="7001C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w:t>
                  </w:r>
                </w:p>
              </w:tc>
            </w:tr>
            <w:tr w14:paraId="2B1FE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noWrap w:val="0"/>
                  <w:vAlign w:val="center"/>
                </w:tcPr>
                <w:p w14:paraId="7BE4F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w:t>
                  </w:r>
                </w:p>
              </w:tc>
              <w:tc>
                <w:tcPr>
                  <w:tcW w:w="3486" w:type="dxa"/>
                  <w:tcBorders>
                    <w:tl2br w:val="nil"/>
                    <w:tr2bl w:val="nil"/>
                  </w:tcBorders>
                  <w:noWrap w:val="0"/>
                  <w:vAlign w:val="center"/>
                </w:tcPr>
                <w:p w14:paraId="5C95B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日均值</w:t>
                  </w:r>
                </w:p>
              </w:tc>
              <w:tc>
                <w:tcPr>
                  <w:tcW w:w="1407" w:type="pct"/>
                  <w:tcBorders>
                    <w:tl2br w:val="nil"/>
                    <w:tr2bl w:val="nil"/>
                  </w:tcBorders>
                  <w:noWrap w:val="0"/>
                  <w:vAlign w:val="center"/>
                </w:tcPr>
                <w:p w14:paraId="509A05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4000</w:t>
                  </w:r>
                </w:p>
              </w:tc>
            </w:tr>
            <w:tr w14:paraId="165B4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noWrap w:val="0"/>
                  <w:vAlign w:val="center"/>
                </w:tcPr>
                <w:p w14:paraId="0C8CE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vertAlign w:val="subscript"/>
                    </w:rPr>
                    <w:t>3</w:t>
                  </w:r>
                </w:p>
              </w:tc>
              <w:tc>
                <w:tcPr>
                  <w:tcW w:w="3486" w:type="dxa"/>
                  <w:tcBorders>
                    <w:tl2br w:val="nil"/>
                    <w:tr2bl w:val="nil"/>
                  </w:tcBorders>
                  <w:noWrap w:val="0"/>
                  <w:vAlign w:val="center"/>
                </w:tcPr>
                <w:p w14:paraId="22112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日最大8小时均值</w:t>
                  </w:r>
                </w:p>
              </w:tc>
              <w:tc>
                <w:tcPr>
                  <w:tcW w:w="1407" w:type="pct"/>
                  <w:tcBorders>
                    <w:tl2br w:val="nil"/>
                    <w:tr2bl w:val="nil"/>
                  </w:tcBorders>
                  <w:noWrap w:val="0"/>
                  <w:vAlign w:val="center"/>
                </w:tcPr>
                <w:p w14:paraId="24C09A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160</w:t>
                  </w:r>
                </w:p>
              </w:tc>
            </w:tr>
          </w:tbl>
          <w:p w14:paraId="579FFF2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color w:val="auto"/>
                <w:spacing w:val="0"/>
                <w:kern w:val="0"/>
                <w:position w:val="0"/>
                <w:sz w:val="21"/>
                <w:szCs w:val="21"/>
              </w:rPr>
            </w:pPr>
            <w:r>
              <w:rPr>
                <w:b/>
                <w:bCs/>
                <w:color w:val="auto"/>
                <w:spacing w:val="0"/>
                <w:kern w:val="0"/>
                <w:position w:val="0"/>
                <w:sz w:val="21"/>
                <w:szCs w:val="21"/>
              </w:rPr>
              <w:t>1.3.2评价方法</w:t>
            </w:r>
          </w:p>
          <w:p w14:paraId="5C7A521F">
            <w:pPr>
              <w:keepNext w:val="0"/>
              <w:keepLines w:val="0"/>
              <w:pageBreakBefore w:val="0"/>
              <w:widowControl w:val="0"/>
              <w:kinsoku/>
              <w:wordWrap/>
              <w:overflowPunct/>
              <w:topLinePunct w:val="0"/>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选用占标率进行评价，公式为：</w:t>
            </w:r>
          </w:p>
          <w:p w14:paraId="3192FEDD">
            <w:pPr>
              <w:keepNext w:val="0"/>
              <w:keepLines w:val="0"/>
              <w:pageBreakBefore w:val="0"/>
              <w:widowControl w:val="0"/>
              <w:kinsoku/>
              <w:wordWrap/>
              <w:overflowPunct/>
              <w:topLinePunct w:val="0"/>
              <w:bidi w:val="0"/>
              <w:adjustRightInd w:val="0"/>
              <w:snapToGrid w:val="0"/>
              <w:spacing w:line="36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P</w:t>
            </w:r>
            <w:r>
              <w:rPr>
                <w:color w:val="auto"/>
                <w:spacing w:val="0"/>
                <w:kern w:val="0"/>
                <w:position w:val="0"/>
                <w:sz w:val="21"/>
                <w:szCs w:val="21"/>
                <w:vertAlign w:val="subscript"/>
              </w:rPr>
              <w:t>i</w:t>
            </w:r>
            <w:r>
              <w:rPr>
                <w:color w:val="auto"/>
                <w:spacing w:val="0"/>
                <w:kern w:val="0"/>
                <w:position w:val="0"/>
                <w:sz w:val="21"/>
                <w:szCs w:val="21"/>
              </w:rPr>
              <w:t>＝C</w:t>
            </w:r>
            <w:r>
              <w:rPr>
                <w:color w:val="auto"/>
                <w:spacing w:val="0"/>
                <w:kern w:val="0"/>
                <w:position w:val="0"/>
                <w:sz w:val="21"/>
                <w:szCs w:val="21"/>
                <w:vertAlign w:val="subscript"/>
              </w:rPr>
              <w:t>i</w:t>
            </w:r>
            <w:r>
              <w:rPr>
                <w:color w:val="auto"/>
                <w:spacing w:val="0"/>
                <w:kern w:val="0"/>
                <w:position w:val="0"/>
                <w:sz w:val="21"/>
                <w:szCs w:val="21"/>
              </w:rPr>
              <w:t>/C</w:t>
            </w:r>
            <w:r>
              <w:rPr>
                <w:color w:val="auto"/>
                <w:spacing w:val="0"/>
                <w:kern w:val="0"/>
                <w:position w:val="0"/>
                <w:sz w:val="21"/>
                <w:szCs w:val="21"/>
                <w:vertAlign w:val="subscript"/>
              </w:rPr>
              <w:t>oi</w:t>
            </w:r>
          </w:p>
          <w:p w14:paraId="2938C43D">
            <w:pPr>
              <w:keepNext w:val="0"/>
              <w:keepLines w:val="0"/>
              <w:pageBreakBefore w:val="0"/>
              <w:widowControl w:val="0"/>
              <w:kinsoku/>
              <w:wordWrap/>
              <w:overflowPunct/>
              <w:topLinePunct w:val="0"/>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式中，P</w:t>
            </w:r>
            <w:r>
              <w:rPr>
                <w:color w:val="auto"/>
                <w:spacing w:val="0"/>
                <w:kern w:val="0"/>
                <w:position w:val="0"/>
                <w:sz w:val="21"/>
                <w:szCs w:val="21"/>
                <w:vertAlign w:val="subscript"/>
              </w:rPr>
              <w:t>i</w:t>
            </w:r>
            <w:r>
              <w:rPr>
                <w:color w:val="auto"/>
                <w:spacing w:val="0"/>
                <w:kern w:val="0"/>
                <w:position w:val="0"/>
                <w:sz w:val="21"/>
                <w:szCs w:val="21"/>
              </w:rPr>
              <w:t>－第i个污染物的最大地面质量浓度占标率，%；</w:t>
            </w:r>
          </w:p>
          <w:p w14:paraId="7E2E1406">
            <w:pPr>
              <w:keepNext w:val="0"/>
              <w:keepLines w:val="0"/>
              <w:pageBreakBefore w:val="0"/>
              <w:widowControl w:val="0"/>
              <w:kinsoku/>
              <w:wordWrap/>
              <w:overflowPunct/>
              <w:topLinePunct w:val="0"/>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C</w:t>
            </w:r>
            <w:r>
              <w:rPr>
                <w:color w:val="auto"/>
                <w:spacing w:val="0"/>
                <w:kern w:val="0"/>
                <w:position w:val="0"/>
                <w:sz w:val="21"/>
                <w:szCs w:val="21"/>
                <w:vertAlign w:val="subscript"/>
              </w:rPr>
              <w:t>i</w:t>
            </w:r>
            <w:r>
              <w:rPr>
                <w:color w:val="auto"/>
                <w:spacing w:val="0"/>
                <w:kern w:val="0"/>
                <w:position w:val="0"/>
                <w:sz w:val="21"/>
                <w:szCs w:val="21"/>
              </w:rPr>
              <w:t>－第i个污染物的浓度，mg/m</w:t>
            </w:r>
            <w:r>
              <w:rPr>
                <w:color w:val="auto"/>
                <w:spacing w:val="0"/>
                <w:kern w:val="0"/>
                <w:position w:val="0"/>
                <w:sz w:val="21"/>
                <w:szCs w:val="21"/>
                <w:vertAlign w:val="superscript"/>
              </w:rPr>
              <w:t>3</w:t>
            </w:r>
            <w:r>
              <w:rPr>
                <w:color w:val="auto"/>
                <w:spacing w:val="0"/>
                <w:kern w:val="0"/>
                <w:position w:val="0"/>
                <w:sz w:val="21"/>
                <w:szCs w:val="21"/>
              </w:rPr>
              <w:t>（标准状态）；</w:t>
            </w:r>
          </w:p>
          <w:p w14:paraId="7C3E2D13">
            <w:pPr>
              <w:keepNext w:val="0"/>
              <w:keepLines w:val="0"/>
              <w:pageBreakBefore w:val="0"/>
              <w:widowControl w:val="0"/>
              <w:kinsoku/>
              <w:wordWrap/>
              <w:overflowPunct/>
              <w:topLinePunct w:val="0"/>
              <w:bidi w:val="0"/>
              <w:adjustRightInd w:val="0"/>
              <w:snapToGrid w:val="0"/>
              <w:spacing w:line="360" w:lineRule="auto"/>
              <w:ind w:firstLine="560"/>
              <w:textAlignment w:val="auto"/>
              <w:rPr>
                <w:color w:val="auto"/>
                <w:spacing w:val="0"/>
                <w:kern w:val="0"/>
                <w:position w:val="0"/>
                <w:sz w:val="21"/>
                <w:szCs w:val="21"/>
              </w:rPr>
            </w:pPr>
            <w:r>
              <w:rPr>
                <w:color w:val="auto"/>
                <w:spacing w:val="0"/>
                <w:kern w:val="0"/>
                <w:position w:val="0"/>
                <w:sz w:val="21"/>
                <w:szCs w:val="21"/>
              </w:rPr>
              <w:t>C</w:t>
            </w:r>
            <w:r>
              <w:rPr>
                <w:color w:val="auto"/>
                <w:spacing w:val="0"/>
                <w:kern w:val="0"/>
                <w:position w:val="0"/>
                <w:sz w:val="21"/>
                <w:szCs w:val="21"/>
                <w:vertAlign w:val="subscript"/>
              </w:rPr>
              <w:t>oi</w:t>
            </w:r>
            <w:r>
              <w:rPr>
                <w:color w:val="auto"/>
                <w:spacing w:val="0"/>
                <w:kern w:val="0"/>
                <w:position w:val="0"/>
                <w:sz w:val="21"/>
                <w:szCs w:val="21"/>
              </w:rPr>
              <w:t>－第i个污染物的环境空气质量浓度标准，mg/m</w:t>
            </w:r>
            <w:r>
              <w:rPr>
                <w:color w:val="auto"/>
                <w:spacing w:val="0"/>
                <w:kern w:val="0"/>
                <w:position w:val="0"/>
                <w:sz w:val="21"/>
                <w:szCs w:val="21"/>
                <w:vertAlign w:val="superscript"/>
              </w:rPr>
              <w:t>3</w:t>
            </w:r>
            <w:r>
              <w:rPr>
                <w:color w:val="auto"/>
                <w:spacing w:val="0"/>
                <w:kern w:val="0"/>
                <w:position w:val="0"/>
                <w:sz w:val="21"/>
                <w:szCs w:val="21"/>
              </w:rPr>
              <w:t>（标准状态）。</w:t>
            </w:r>
          </w:p>
          <w:p w14:paraId="41BF98F6">
            <w:pPr>
              <w:keepNext w:val="0"/>
              <w:keepLines w:val="0"/>
              <w:pageBreakBefore w:val="0"/>
              <w:widowControl w:val="0"/>
              <w:kinsoku/>
              <w:wordWrap/>
              <w:overflowPunct/>
              <w:topLinePunct w:val="0"/>
              <w:bidi w:val="0"/>
              <w:adjustRightInd w:val="0"/>
              <w:snapToGrid w:val="0"/>
              <w:spacing w:line="360" w:lineRule="auto"/>
              <w:ind w:firstLine="0" w:firstLineChars="0"/>
              <w:textAlignment w:val="auto"/>
              <w:rPr>
                <w:b/>
                <w:bCs/>
                <w:color w:val="auto"/>
                <w:spacing w:val="0"/>
                <w:kern w:val="0"/>
                <w:position w:val="0"/>
                <w:sz w:val="21"/>
                <w:szCs w:val="21"/>
              </w:rPr>
            </w:pPr>
            <w:r>
              <w:rPr>
                <w:b/>
                <w:bCs/>
                <w:color w:val="auto"/>
                <w:spacing w:val="0"/>
                <w:kern w:val="0"/>
                <w:position w:val="0"/>
                <w:sz w:val="21"/>
                <w:szCs w:val="21"/>
              </w:rPr>
              <w:t>1.3.3基本因子</w:t>
            </w:r>
            <w:r>
              <w:rPr>
                <w:rFonts w:hint="eastAsia"/>
                <w:b/>
                <w:bCs/>
                <w:color w:val="auto"/>
                <w:spacing w:val="0"/>
                <w:kern w:val="0"/>
                <w:position w:val="0"/>
                <w:sz w:val="21"/>
                <w:szCs w:val="21"/>
              </w:rPr>
              <w:t>及补测特征因子</w:t>
            </w:r>
            <w:r>
              <w:rPr>
                <w:b/>
                <w:bCs/>
                <w:color w:val="auto"/>
                <w:spacing w:val="0"/>
                <w:kern w:val="0"/>
                <w:position w:val="0"/>
                <w:sz w:val="21"/>
                <w:szCs w:val="21"/>
              </w:rPr>
              <w:t>评价结果</w:t>
            </w:r>
          </w:p>
          <w:p w14:paraId="53CA8617">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本次评价</w:t>
            </w:r>
            <w:r>
              <w:rPr>
                <w:rFonts w:hint="eastAsia" w:ascii="Times New Roman" w:hAnsi="Times New Roman" w:cs="Times New Roman"/>
                <w:color w:val="000000"/>
                <w:spacing w:val="0"/>
                <w:position w:val="0"/>
                <w:sz w:val="21"/>
                <w:szCs w:val="21"/>
                <w:lang w:val="en-US" w:eastAsia="zh-CN"/>
              </w:rPr>
              <w:t>采用</w:t>
            </w:r>
            <w:r>
              <w:rPr>
                <w:rFonts w:hint="default" w:ascii="Times New Roman" w:hAnsi="Times New Roman" w:cs="Times New Roman"/>
                <w:color w:val="000000"/>
                <w:spacing w:val="0"/>
                <w:position w:val="0"/>
                <w:sz w:val="21"/>
                <w:szCs w:val="21"/>
              </w:rPr>
              <w:t>202</w:t>
            </w:r>
            <w:r>
              <w:rPr>
                <w:rFonts w:hint="eastAsia" w:ascii="Times New Roman" w:hAnsi="Times New Roman" w:cs="Times New Roman"/>
                <w:color w:val="000000"/>
                <w:spacing w:val="0"/>
                <w:position w:val="0"/>
                <w:sz w:val="21"/>
                <w:szCs w:val="21"/>
                <w:lang w:val="en-US" w:eastAsia="zh-CN"/>
              </w:rPr>
              <w:t>4</w:t>
            </w:r>
            <w:r>
              <w:rPr>
                <w:rFonts w:hint="default" w:ascii="Times New Roman" w:hAnsi="Times New Roman" w:cs="Times New Roman"/>
                <w:color w:val="000000"/>
                <w:spacing w:val="0"/>
                <w:position w:val="0"/>
                <w:sz w:val="21"/>
                <w:szCs w:val="21"/>
              </w:rPr>
              <w:t>年</w:t>
            </w:r>
            <w:r>
              <w:rPr>
                <w:rFonts w:hint="eastAsia" w:ascii="Times New Roman" w:hAnsi="Times New Roman" w:cs="Times New Roman"/>
                <w:color w:val="000000"/>
                <w:spacing w:val="0"/>
                <w:position w:val="0"/>
                <w:sz w:val="21"/>
                <w:szCs w:val="21"/>
                <w:lang w:val="en-US" w:eastAsia="zh-CN"/>
              </w:rPr>
              <w:t>12</w:t>
            </w:r>
            <w:r>
              <w:rPr>
                <w:rFonts w:hint="default" w:ascii="Times New Roman" w:hAnsi="Times New Roman" w:cs="Times New Roman"/>
                <w:color w:val="000000"/>
                <w:spacing w:val="0"/>
                <w:position w:val="0"/>
                <w:sz w:val="21"/>
                <w:szCs w:val="21"/>
              </w:rPr>
              <w:t>月</w:t>
            </w:r>
            <w:r>
              <w:rPr>
                <w:rFonts w:hint="eastAsia" w:cs="Times New Roman"/>
                <w:color w:val="000000"/>
                <w:spacing w:val="0"/>
                <w:position w:val="0"/>
                <w:sz w:val="21"/>
                <w:szCs w:val="21"/>
                <w:lang w:val="en-US" w:eastAsia="zh-CN"/>
              </w:rPr>
              <w:t>14</w:t>
            </w:r>
            <w:r>
              <w:rPr>
                <w:rFonts w:hint="default" w:ascii="Times New Roman" w:hAnsi="Times New Roman" w:cs="Times New Roman"/>
                <w:color w:val="000000"/>
                <w:spacing w:val="0"/>
                <w:position w:val="0"/>
                <w:sz w:val="21"/>
                <w:szCs w:val="21"/>
              </w:rPr>
              <w:t>日-202</w:t>
            </w:r>
            <w:r>
              <w:rPr>
                <w:rFonts w:hint="eastAsia" w:ascii="Times New Roman" w:hAnsi="Times New Roman" w:cs="Times New Roman"/>
                <w:color w:val="000000"/>
                <w:spacing w:val="0"/>
                <w:position w:val="0"/>
                <w:sz w:val="21"/>
                <w:szCs w:val="21"/>
                <w:lang w:val="en-US" w:eastAsia="zh-CN"/>
              </w:rPr>
              <w:t>4</w:t>
            </w:r>
            <w:r>
              <w:rPr>
                <w:rFonts w:hint="default" w:ascii="Times New Roman" w:hAnsi="Times New Roman" w:cs="Times New Roman"/>
                <w:color w:val="000000"/>
                <w:spacing w:val="0"/>
                <w:position w:val="0"/>
                <w:sz w:val="21"/>
                <w:szCs w:val="21"/>
              </w:rPr>
              <w:t>年</w:t>
            </w:r>
            <w:r>
              <w:rPr>
                <w:rFonts w:hint="eastAsia" w:ascii="Times New Roman" w:hAnsi="Times New Roman" w:cs="Times New Roman"/>
                <w:color w:val="000000"/>
                <w:spacing w:val="0"/>
                <w:position w:val="0"/>
                <w:sz w:val="21"/>
                <w:szCs w:val="21"/>
                <w:lang w:val="en-US" w:eastAsia="zh-CN"/>
              </w:rPr>
              <w:t>12</w:t>
            </w:r>
            <w:r>
              <w:rPr>
                <w:rFonts w:hint="default" w:ascii="Times New Roman" w:hAnsi="Times New Roman" w:cs="Times New Roman"/>
                <w:color w:val="000000"/>
                <w:spacing w:val="0"/>
                <w:position w:val="0"/>
                <w:sz w:val="21"/>
                <w:szCs w:val="21"/>
              </w:rPr>
              <w:t>月</w:t>
            </w:r>
            <w:r>
              <w:rPr>
                <w:rFonts w:hint="eastAsia" w:cs="Times New Roman"/>
                <w:color w:val="000000"/>
                <w:spacing w:val="0"/>
                <w:position w:val="0"/>
                <w:sz w:val="21"/>
                <w:szCs w:val="21"/>
                <w:lang w:val="en-US" w:eastAsia="zh-CN"/>
              </w:rPr>
              <w:t>16</w:t>
            </w:r>
            <w:r>
              <w:rPr>
                <w:rFonts w:hint="default" w:ascii="Times New Roman" w:hAnsi="Times New Roman" w:cs="Times New Roman"/>
                <w:color w:val="000000"/>
                <w:spacing w:val="0"/>
                <w:position w:val="0"/>
                <w:sz w:val="21"/>
                <w:szCs w:val="21"/>
              </w:rPr>
              <w:t>日</w:t>
            </w:r>
            <w:r>
              <w:rPr>
                <w:rFonts w:hint="eastAsia" w:ascii="Times New Roman" w:hAnsi="Times New Roman" w:eastAsia="宋体" w:cs="Times New Roman"/>
                <w:color w:val="000000"/>
                <w:spacing w:val="0"/>
                <w:position w:val="0"/>
                <w:sz w:val="21"/>
                <w:szCs w:val="21"/>
                <w:lang w:val="en-US" w:eastAsia="zh-CN"/>
              </w:rPr>
              <w:t>新疆卓凯新环境科技有限公司</w:t>
            </w:r>
            <w:r>
              <w:rPr>
                <w:rFonts w:hint="default" w:ascii="Times New Roman" w:hAnsi="Times New Roman" w:cs="Times New Roman"/>
                <w:color w:val="000000"/>
                <w:spacing w:val="0"/>
                <w:position w:val="0"/>
                <w:sz w:val="21"/>
                <w:szCs w:val="21"/>
              </w:rPr>
              <w:t>对</w:t>
            </w:r>
            <w:r>
              <w:rPr>
                <w:rFonts w:hint="eastAsia" w:ascii="Times New Roman" w:hAnsi="Times New Roman" w:cs="Times New Roman"/>
                <w:color w:val="000000"/>
                <w:spacing w:val="0"/>
                <w:position w:val="0"/>
                <w:sz w:val="21"/>
                <w:szCs w:val="21"/>
                <w:lang w:val="en-US" w:eastAsia="zh-CN"/>
              </w:rPr>
              <w:t>项目区</w:t>
            </w:r>
            <w:r>
              <w:rPr>
                <w:rFonts w:hint="eastAsia" w:cs="Times New Roman"/>
                <w:color w:val="000000"/>
                <w:spacing w:val="0"/>
                <w:position w:val="0"/>
                <w:sz w:val="21"/>
                <w:szCs w:val="21"/>
                <w:lang w:val="en-US" w:eastAsia="zh-CN"/>
              </w:rPr>
              <w:t>外北侧和项目区外西侧</w:t>
            </w:r>
            <w:r>
              <w:rPr>
                <w:rFonts w:hint="default" w:ascii="Times New Roman" w:hAnsi="Times New Roman" w:cs="Times New Roman"/>
                <w:color w:val="000000"/>
                <w:spacing w:val="0"/>
                <w:position w:val="0"/>
                <w:sz w:val="21"/>
                <w:szCs w:val="21"/>
              </w:rPr>
              <w:t>非甲烷总烃现状监测</w:t>
            </w:r>
            <w:r>
              <w:rPr>
                <w:rFonts w:hint="eastAsia" w:ascii="Times New Roman" w:hAnsi="Times New Roman" w:cs="Times New Roman"/>
                <w:color w:val="000000"/>
                <w:spacing w:val="0"/>
                <w:position w:val="0"/>
                <w:sz w:val="21"/>
                <w:szCs w:val="21"/>
                <w:lang w:val="en-US" w:eastAsia="zh-CN"/>
              </w:rPr>
              <w:t>的</w:t>
            </w:r>
            <w:r>
              <w:rPr>
                <w:rFonts w:hint="default" w:ascii="Times New Roman" w:hAnsi="Times New Roman" w:cs="Times New Roman"/>
                <w:color w:val="000000"/>
                <w:spacing w:val="0"/>
                <w:position w:val="0"/>
                <w:sz w:val="21"/>
                <w:szCs w:val="21"/>
              </w:rPr>
              <w:t>数据</w:t>
            </w:r>
            <w:r>
              <w:rPr>
                <w:rFonts w:hint="eastAsia" w:cs="Times New Roman"/>
                <w:color w:val="000000"/>
                <w:spacing w:val="0"/>
                <w:position w:val="0"/>
                <w:sz w:val="21"/>
                <w:szCs w:val="21"/>
                <w:lang w:eastAsia="zh-CN"/>
              </w:rPr>
              <w:t>，</w:t>
            </w:r>
            <w:r>
              <w:rPr>
                <w:rFonts w:hint="eastAsia" w:cs="Times New Roman"/>
                <w:color w:val="000000"/>
                <w:spacing w:val="0"/>
                <w:position w:val="0"/>
                <w:sz w:val="21"/>
                <w:szCs w:val="21"/>
                <w:lang w:val="en-US" w:eastAsia="zh-CN"/>
              </w:rPr>
              <w:t>具体见附件10</w:t>
            </w:r>
            <w:r>
              <w:rPr>
                <w:rFonts w:hint="default" w:ascii="Times New Roman" w:hAnsi="Times New Roman" w:cs="Times New Roman"/>
                <w:color w:val="000000"/>
                <w:spacing w:val="0"/>
                <w:position w:val="0"/>
                <w:sz w:val="21"/>
                <w:szCs w:val="21"/>
              </w:rPr>
              <w:t>。</w:t>
            </w:r>
          </w:p>
          <w:p w14:paraId="40A5B2DB">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（1）监测项目、监测时间、监测频率及监测布点</w:t>
            </w:r>
          </w:p>
          <w:p w14:paraId="44C380D9">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监测项目：挥发性有机物（以非甲烷总烃计）；</w:t>
            </w:r>
          </w:p>
          <w:p w14:paraId="20F19AD0">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auto"/>
                <w:spacing w:val="0"/>
                <w:position w:val="0"/>
                <w:sz w:val="21"/>
                <w:szCs w:val="21"/>
              </w:rPr>
            </w:pPr>
            <w:bookmarkStart w:id="7" w:name="_Toc20872"/>
            <w:r>
              <w:rPr>
                <w:rFonts w:hint="default" w:ascii="Times New Roman" w:hAnsi="Times New Roman" w:cs="Times New Roman"/>
                <w:color w:val="000000"/>
                <w:spacing w:val="0"/>
                <w:position w:val="0"/>
                <w:sz w:val="21"/>
                <w:szCs w:val="21"/>
              </w:rPr>
              <w:t>监测时间</w:t>
            </w:r>
            <w:bookmarkEnd w:id="7"/>
            <w:r>
              <w:rPr>
                <w:rFonts w:hint="default" w:ascii="Times New Roman" w:hAnsi="Times New Roman" w:cs="Times New Roman"/>
                <w:color w:val="auto"/>
                <w:spacing w:val="0"/>
                <w:position w:val="0"/>
                <w:sz w:val="21"/>
                <w:szCs w:val="21"/>
              </w:rPr>
              <w:t>：202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12</w:t>
            </w:r>
            <w:r>
              <w:rPr>
                <w:rFonts w:hint="default" w:ascii="Times New Roman" w:hAnsi="Times New Roman" w:cs="Times New Roman"/>
                <w:color w:val="auto"/>
                <w:spacing w:val="0"/>
                <w:position w:val="0"/>
                <w:sz w:val="21"/>
                <w:szCs w:val="21"/>
              </w:rPr>
              <w:t>月</w:t>
            </w:r>
            <w:r>
              <w:rPr>
                <w:rFonts w:hint="eastAsia" w:cs="Times New Roman"/>
                <w:color w:val="auto"/>
                <w:spacing w:val="0"/>
                <w:position w:val="0"/>
                <w:sz w:val="21"/>
                <w:szCs w:val="21"/>
                <w:lang w:val="en-US" w:eastAsia="zh-CN"/>
              </w:rPr>
              <w:t>14</w:t>
            </w:r>
            <w:r>
              <w:rPr>
                <w:rFonts w:hint="default" w:ascii="Times New Roman" w:hAnsi="Times New Roman" w:cs="Times New Roman"/>
                <w:color w:val="auto"/>
                <w:spacing w:val="0"/>
                <w:position w:val="0"/>
                <w:sz w:val="21"/>
                <w:szCs w:val="21"/>
              </w:rPr>
              <w:t>日-202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12</w:t>
            </w:r>
            <w:r>
              <w:rPr>
                <w:rFonts w:hint="default" w:ascii="Times New Roman" w:hAnsi="Times New Roman" w:cs="Times New Roman"/>
                <w:color w:val="auto"/>
                <w:spacing w:val="0"/>
                <w:position w:val="0"/>
                <w:sz w:val="21"/>
                <w:szCs w:val="21"/>
              </w:rPr>
              <w:t>月</w:t>
            </w:r>
            <w:r>
              <w:rPr>
                <w:rFonts w:hint="eastAsia" w:cs="Times New Roman"/>
                <w:color w:val="auto"/>
                <w:spacing w:val="0"/>
                <w:position w:val="0"/>
                <w:sz w:val="21"/>
                <w:szCs w:val="21"/>
                <w:lang w:val="en-US" w:eastAsia="zh-CN"/>
              </w:rPr>
              <w:t>16</w:t>
            </w:r>
            <w:r>
              <w:rPr>
                <w:rFonts w:hint="default" w:ascii="Times New Roman" w:hAnsi="Times New Roman" w:cs="Times New Roman"/>
                <w:color w:val="auto"/>
                <w:spacing w:val="0"/>
                <w:position w:val="0"/>
                <w:sz w:val="21"/>
                <w:szCs w:val="21"/>
              </w:rPr>
              <w:t>日；</w:t>
            </w:r>
          </w:p>
          <w:p w14:paraId="1CAEBF30">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监测频率：监测</w:t>
            </w:r>
            <w:r>
              <w:rPr>
                <w:rFonts w:hint="eastAsia" w:ascii="Times New Roman" w:hAnsi="Times New Roman" w:cs="Times New Roman"/>
                <w:color w:val="auto"/>
                <w:spacing w:val="0"/>
                <w:position w:val="0"/>
                <w:sz w:val="21"/>
                <w:szCs w:val="21"/>
                <w:lang w:val="en-US" w:eastAsia="zh-CN"/>
              </w:rPr>
              <w:t>3</w:t>
            </w:r>
            <w:r>
              <w:rPr>
                <w:rFonts w:hint="default" w:ascii="Times New Roman" w:hAnsi="Times New Roman" w:cs="Times New Roman"/>
                <w:color w:val="auto"/>
                <w:spacing w:val="0"/>
                <w:position w:val="0"/>
                <w:sz w:val="21"/>
                <w:szCs w:val="21"/>
              </w:rPr>
              <w:t>天，每天监测4次；</w:t>
            </w:r>
          </w:p>
          <w:p w14:paraId="7397F1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监测时间：共设有</w:t>
            </w:r>
            <w:r>
              <w:rPr>
                <w:rFonts w:hint="eastAsia" w:cs="Times New Roman"/>
                <w:color w:val="auto"/>
                <w:spacing w:val="0"/>
                <w:position w:val="0"/>
                <w:sz w:val="21"/>
                <w:szCs w:val="21"/>
                <w:lang w:val="en-US" w:eastAsia="zh-CN"/>
              </w:rPr>
              <w:t>2</w:t>
            </w:r>
            <w:r>
              <w:rPr>
                <w:rFonts w:hint="default" w:ascii="Times New Roman" w:hAnsi="Times New Roman" w:cs="Times New Roman"/>
                <w:color w:val="auto"/>
                <w:spacing w:val="0"/>
                <w:position w:val="0"/>
                <w:sz w:val="21"/>
                <w:szCs w:val="21"/>
              </w:rPr>
              <w:t>个大气监测点，监测布点位于项目区</w:t>
            </w:r>
            <w:r>
              <w:rPr>
                <w:rFonts w:hint="eastAsia" w:cs="Times New Roman"/>
                <w:color w:val="auto"/>
                <w:spacing w:val="0"/>
                <w:position w:val="0"/>
                <w:sz w:val="21"/>
                <w:szCs w:val="21"/>
                <w:lang w:val="en-US" w:eastAsia="zh-CN"/>
              </w:rPr>
              <w:t>外北侧（</w:t>
            </w:r>
            <w:r>
              <w:rPr>
                <w:rFonts w:hint="default" w:ascii="Times New Roman" w:hAnsi="Times New Roman" w:cs="Times New Roman"/>
                <w:color w:val="auto"/>
                <w:spacing w:val="0"/>
                <w:position w:val="0"/>
                <w:sz w:val="21"/>
                <w:szCs w:val="21"/>
              </w:rPr>
              <w:t>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12</w:t>
            </w:r>
            <w:r>
              <w:rPr>
                <w:rFonts w:hint="default" w:ascii="Times New Roman" w:hAnsi="Times New Roman" w:cs="Times New Roman"/>
                <w:color w:val="auto"/>
                <w:spacing w:val="0"/>
                <w:position w:val="0"/>
                <w:sz w:val="21"/>
                <w:szCs w:val="21"/>
              </w:rPr>
              <w:t>月</w:t>
            </w:r>
            <w:r>
              <w:rPr>
                <w:rFonts w:hint="eastAsia" w:cs="Times New Roman"/>
                <w:color w:val="auto"/>
                <w:spacing w:val="0"/>
                <w:position w:val="0"/>
                <w:sz w:val="21"/>
                <w:szCs w:val="21"/>
                <w:lang w:val="en-US" w:eastAsia="zh-CN"/>
              </w:rPr>
              <w:t>14</w:t>
            </w:r>
            <w:r>
              <w:rPr>
                <w:rFonts w:hint="default" w:ascii="Times New Roman" w:hAnsi="Times New Roman" w:cs="Times New Roman"/>
                <w:color w:val="auto"/>
                <w:spacing w:val="0"/>
                <w:position w:val="0"/>
                <w:sz w:val="21"/>
                <w:szCs w:val="21"/>
              </w:rPr>
              <w:t>日</w:t>
            </w:r>
            <w:r>
              <w:rPr>
                <w:rFonts w:hint="eastAsia" w:ascii="Times New Roman" w:hAnsi="Times New Roman" w:cs="Times New Roman"/>
                <w:color w:val="auto"/>
                <w:spacing w:val="0"/>
                <w:position w:val="0"/>
                <w:sz w:val="21"/>
                <w:szCs w:val="21"/>
                <w:lang w:eastAsia="zh-CN"/>
              </w:rPr>
              <w:t>、</w:t>
            </w:r>
            <w:r>
              <w:rPr>
                <w:rFonts w:hint="default" w:ascii="Times New Roman" w:hAnsi="Times New Roman" w:cs="Times New Roman"/>
                <w:color w:val="auto"/>
                <w:spacing w:val="0"/>
                <w:position w:val="0"/>
                <w:sz w:val="21"/>
                <w:szCs w:val="21"/>
              </w:rPr>
              <w:t>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12</w:t>
            </w:r>
            <w:r>
              <w:rPr>
                <w:rFonts w:hint="default" w:ascii="Times New Roman" w:hAnsi="Times New Roman" w:cs="Times New Roman"/>
                <w:color w:val="auto"/>
                <w:spacing w:val="0"/>
                <w:position w:val="0"/>
                <w:sz w:val="21"/>
                <w:szCs w:val="21"/>
              </w:rPr>
              <w:t>月</w:t>
            </w:r>
            <w:r>
              <w:rPr>
                <w:rFonts w:hint="eastAsia" w:cs="Times New Roman"/>
                <w:color w:val="auto"/>
                <w:spacing w:val="0"/>
                <w:position w:val="0"/>
                <w:sz w:val="21"/>
                <w:szCs w:val="21"/>
                <w:lang w:val="en-US" w:eastAsia="zh-CN"/>
              </w:rPr>
              <w:t>16</w:t>
            </w:r>
            <w:r>
              <w:rPr>
                <w:rFonts w:hint="default" w:ascii="Times New Roman" w:hAnsi="Times New Roman" w:cs="Times New Roman"/>
                <w:color w:val="auto"/>
                <w:spacing w:val="0"/>
                <w:position w:val="0"/>
                <w:sz w:val="21"/>
                <w:szCs w:val="21"/>
              </w:rPr>
              <w:t>日</w:t>
            </w:r>
            <w:r>
              <w:rPr>
                <w:rFonts w:hint="eastAsia" w:ascii="Times New Roman" w:hAnsi="Times New Roman" w:cs="Times New Roman"/>
                <w:color w:val="auto"/>
                <w:spacing w:val="0"/>
                <w:position w:val="0"/>
                <w:sz w:val="21"/>
                <w:szCs w:val="21"/>
                <w:lang w:val="en-US" w:eastAsia="zh-CN"/>
              </w:rPr>
              <w:t>监测</w:t>
            </w:r>
            <w:r>
              <w:rPr>
                <w:rFonts w:hint="eastAsia" w:cs="Times New Roman"/>
                <w:color w:val="auto"/>
                <w:spacing w:val="0"/>
                <w:position w:val="0"/>
                <w:sz w:val="21"/>
                <w:szCs w:val="21"/>
                <w:lang w:val="en-US" w:eastAsia="zh-CN"/>
              </w:rPr>
              <w:t>）和项目区外西侧（</w:t>
            </w:r>
            <w:r>
              <w:rPr>
                <w:rFonts w:hint="default" w:ascii="Times New Roman" w:hAnsi="Times New Roman" w:cs="Times New Roman"/>
                <w:color w:val="auto"/>
                <w:spacing w:val="0"/>
                <w:position w:val="0"/>
                <w:sz w:val="21"/>
                <w:szCs w:val="21"/>
              </w:rPr>
              <w:t>202</w:t>
            </w:r>
            <w:r>
              <w:rPr>
                <w:rFonts w:hint="eastAsia" w:ascii="Times New Roman" w:hAnsi="Times New Roman" w:cs="Times New Roman"/>
                <w:color w:val="auto"/>
                <w:spacing w:val="0"/>
                <w:position w:val="0"/>
                <w:sz w:val="21"/>
                <w:szCs w:val="21"/>
                <w:lang w:val="en-US" w:eastAsia="zh-CN"/>
              </w:rPr>
              <w:t>4</w:t>
            </w:r>
            <w:r>
              <w:rPr>
                <w:rFonts w:hint="default" w:ascii="Times New Roman" w:hAnsi="Times New Roman" w:cs="Times New Roman"/>
                <w:color w:val="auto"/>
                <w:spacing w:val="0"/>
                <w:position w:val="0"/>
                <w:sz w:val="21"/>
                <w:szCs w:val="21"/>
              </w:rPr>
              <w:t>年</w:t>
            </w:r>
            <w:r>
              <w:rPr>
                <w:rFonts w:hint="eastAsia" w:ascii="Times New Roman" w:hAnsi="Times New Roman" w:cs="Times New Roman"/>
                <w:color w:val="auto"/>
                <w:spacing w:val="0"/>
                <w:position w:val="0"/>
                <w:sz w:val="21"/>
                <w:szCs w:val="21"/>
                <w:lang w:val="en-US" w:eastAsia="zh-CN"/>
              </w:rPr>
              <w:t>12</w:t>
            </w:r>
            <w:r>
              <w:rPr>
                <w:rFonts w:hint="default" w:ascii="Times New Roman" w:hAnsi="Times New Roman" w:cs="Times New Roman"/>
                <w:color w:val="auto"/>
                <w:spacing w:val="0"/>
                <w:position w:val="0"/>
                <w:sz w:val="21"/>
                <w:szCs w:val="21"/>
              </w:rPr>
              <w:t>月</w:t>
            </w:r>
            <w:r>
              <w:rPr>
                <w:rFonts w:hint="eastAsia" w:cs="Times New Roman"/>
                <w:color w:val="auto"/>
                <w:spacing w:val="0"/>
                <w:position w:val="0"/>
                <w:sz w:val="21"/>
                <w:szCs w:val="21"/>
                <w:lang w:val="en-US" w:eastAsia="zh-CN"/>
              </w:rPr>
              <w:t>15</w:t>
            </w:r>
            <w:r>
              <w:rPr>
                <w:rFonts w:hint="default" w:ascii="Times New Roman" w:hAnsi="Times New Roman" w:cs="Times New Roman"/>
                <w:color w:val="auto"/>
                <w:spacing w:val="0"/>
                <w:position w:val="0"/>
                <w:sz w:val="21"/>
                <w:szCs w:val="21"/>
              </w:rPr>
              <w:t>日</w:t>
            </w:r>
            <w:r>
              <w:rPr>
                <w:rFonts w:hint="eastAsia" w:ascii="Times New Roman" w:hAnsi="Times New Roman" w:cs="Times New Roman"/>
                <w:color w:val="auto"/>
                <w:spacing w:val="0"/>
                <w:position w:val="0"/>
                <w:sz w:val="21"/>
                <w:szCs w:val="21"/>
                <w:lang w:val="en-US" w:eastAsia="zh-CN"/>
              </w:rPr>
              <w:t>监测</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rPr>
              <w:t>，具体见图</w:t>
            </w:r>
            <w:r>
              <w:rPr>
                <w:rFonts w:hint="eastAsia" w:cs="Times New Roman"/>
                <w:color w:val="auto"/>
                <w:spacing w:val="0"/>
                <w:position w:val="0"/>
                <w:sz w:val="21"/>
                <w:szCs w:val="21"/>
                <w:lang w:val="en-US" w:eastAsia="zh-CN"/>
              </w:rPr>
              <w:t>7</w:t>
            </w:r>
            <w:r>
              <w:rPr>
                <w:rFonts w:hint="default" w:ascii="Times New Roman" w:hAnsi="Times New Roman" w:cs="Times New Roman"/>
                <w:color w:val="auto"/>
                <w:spacing w:val="0"/>
                <w:position w:val="0"/>
                <w:sz w:val="21"/>
                <w:szCs w:val="21"/>
              </w:rPr>
              <w:t>监测点位示意图。</w:t>
            </w:r>
          </w:p>
          <w:p w14:paraId="4C24DF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pacing w:val="0"/>
                <w:position w:val="0"/>
                <w:sz w:val="21"/>
                <w:szCs w:val="21"/>
              </w:rPr>
            </w:pPr>
            <w:r>
              <w:rPr>
                <w:rFonts w:hint="default" w:ascii="Times New Roman" w:hAnsi="Times New Roman" w:eastAsia="宋体" w:cs="Times New Roman"/>
                <w:color w:val="000000"/>
                <w:spacing w:val="0"/>
                <w:kern w:val="2"/>
                <w:position w:val="0"/>
                <w:sz w:val="21"/>
                <w:szCs w:val="21"/>
                <w:lang w:val="en-US" w:eastAsia="zh-CN" w:bidi="ar-SA"/>
              </w:rPr>
              <w:t>（2）</w:t>
            </w:r>
            <w:r>
              <w:rPr>
                <w:rFonts w:hint="default" w:ascii="Times New Roman" w:hAnsi="Times New Roman" w:cs="Times New Roman"/>
                <w:color w:val="000000"/>
                <w:spacing w:val="0"/>
                <w:position w:val="0"/>
                <w:sz w:val="21"/>
                <w:szCs w:val="21"/>
              </w:rPr>
              <w:t>采样及分析方法</w:t>
            </w:r>
          </w:p>
          <w:p w14:paraId="62885F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auto"/>
                <w:spacing w:val="0"/>
                <w:position w:val="0"/>
                <w:sz w:val="21"/>
                <w:szCs w:val="21"/>
                <w:lang w:val="en-US" w:eastAsia="zh-CN"/>
              </w:rPr>
              <w:t>环境空气质量监测中的布点和采样按照《环境空气质量手工监测技术规范》</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HJ</w:t>
            </w:r>
            <w:r>
              <w:rPr>
                <w:rFonts w:hint="eastAsia" w:cs="Times New Roman"/>
                <w:color w:val="auto"/>
                <w:spacing w:val="0"/>
                <w:position w:val="0"/>
                <w:sz w:val="21"/>
                <w:szCs w:val="21"/>
                <w:lang w:val="en-US" w:eastAsia="zh-CN"/>
              </w:rPr>
              <w:t xml:space="preserve"> </w:t>
            </w:r>
            <w:r>
              <w:rPr>
                <w:rFonts w:hint="default" w:ascii="Times New Roman" w:hAnsi="Times New Roman" w:cs="Times New Roman"/>
                <w:color w:val="auto"/>
                <w:spacing w:val="0"/>
                <w:position w:val="0"/>
                <w:sz w:val="21"/>
                <w:szCs w:val="21"/>
                <w:lang w:val="en-US" w:eastAsia="zh-CN"/>
              </w:rPr>
              <w:t>194-2017</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及修改单和《环境空气质量监测点位布设技术规范》</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试行</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H664-2013</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的相关规定布点和采样，分析方法采用《环境空气总烃、甲烷和非甲烷总烃的测定直接进样-气相色谱法》</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HJ</w:t>
            </w:r>
            <w:r>
              <w:rPr>
                <w:rFonts w:hint="eastAsia" w:cs="Times New Roman"/>
                <w:color w:val="auto"/>
                <w:spacing w:val="0"/>
                <w:position w:val="0"/>
                <w:sz w:val="21"/>
                <w:szCs w:val="21"/>
                <w:lang w:val="en-US" w:eastAsia="zh-CN"/>
              </w:rPr>
              <w:t xml:space="preserve"> </w:t>
            </w:r>
            <w:r>
              <w:rPr>
                <w:rFonts w:hint="default" w:ascii="Times New Roman" w:hAnsi="Times New Roman" w:cs="Times New Roman"/>
                <w:color w:val="auto"/>
                <w:spacing w:val="0"/>
                <w:position w:val="0"/>
                <w:sz w:val="21"/>
                <w:szCs w:val="21"/>
                <w:lang w:val="en-US" w:eastAsia="zh-CN"/>
              </w:rPr>
              <w:t>604-2017</w:t>
            </w:r>
            <w:r>
              <w:rPr>
                <w:rFonts w:hint="eastAsia" w:cs="Times New Roman"/>
                <w:color w:val="auto"/>
                <w:spacing w:val="0"/>
                <w:position w:val="0"/>
                <w:sz w:val="21"/>
                <w:szCs w:val="21"/>
                <w:lang w:val="en-US" w:eastAsia="zh-CN"/>
              </w:rPr>
              <w:t>）</w:t>
            </w:r>
            <w:r>
              <w:rPr>
                <w:rFonts w:hint="default" w:ascii="Times New Roman" w:hAnsi="Times New Roman" w:cs="Times New Roman"/>
                <w:color w:val="auto"/>
                <w:spacing w:val="0"/>
                <w:position w:val="0"/>
                <w:sz w:val="21"/>
                <w:szCs w:val="21"/>
                <w:lang w:val="en-US" w:eastAsia="zh-CN"/>
              </w:rPr>
              <w:t>中的污染物分析方法执行。</w:t>
            </w:r>
          </w:p>
          <w:p w14:paraId="7EFFC2E4">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000000"/>
                <w:spacing w:val="0"/>
                <w:position w:val="0"/>
                <w:sz w:val="21"/>
                <w:szCs w:val="21"/>
              </w:rPr>
            </w:pPr>
            <w:bookmarkStart w:id="8" w:name="_Toc30074"/>
            <w:r>
              <w:rPr>
                <w:rFonts w:hint="default" w:ascii="Times New Roman" w:hAnsi="Times New Roman" w:cs="Times New Roman"/>
                <w:color w:val="000000"/>
                <w:spacing w:val="0"/>
                <w:position w:val="0"/>
                <w:sz w:val="21"/>
                <w:szCs w:val="21"/>
              </w:rPr>
              <w:t>（3）评价标准及评价方法</w:t>
            </w:r>
            <w:bookmarkEnd w:id="8"/>
          </w:p>
          <w:p w14:paraId="54658CE4">
            <w:pPr>
              <w:keepNext w:val="0"/>
              <w:keepLines w:val="0"/>
              <w:pageBreakBefore w:val="0"/>
              <w:widowControl w:val="0"/>
              <w:kinsoku/>
              <w:wordWrap/>
              <w:overflowPunct/>
              <w:topLinePunct w:val="0"/>
              <w:autoSpaceDE w:val="0"/>
              <w:autoSpaceDN w:val="0"/>
              <w:bidi w:val="0"/>
              <w:spacing w:line="360" w:lineRule="auto"/>
              <w:ind w:firstLine="420" w:firstLineChars="200"/>
              <w:jc w:val="left"/>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非甲烷总烃取《大气污染物综合排放标准详解》限值2.0mg/m</w:t>
            </w:r>
            <w:r>
              <w:rPr>
                <w:rFonts w:hint="default" w:ascii="Times New Roman" w:hAnsi="Times New Roman" w:cs="Times New Roman"/>
                <w:color w:val="000000"/>
                <w:spacing w:val="0"/>
                <w:position w:val="0"/>
                <w:sz w:val="21"/>
                <w:szCs w:val="21"/>
                <w:vertAlign w:val="superscript"/>
              </w:rPr>
              <w:t>3</w:t>
            </w:r>
            <w:r>
              <w:rPr>
                <w:rFonts w:hint="default" w:ascii="Times New Roman" w:hAnsi="Times New Roman" w:cs="Times New Roman"/>
                <w:color w:val="000000"/>
                <w:spacing w:val="0"/>
                <w:position w:val="0"/>
                <w:sz w:val="21"/>
                <w:szCs w:val="21"/>
              </w:rPr>
              <w:t>作为评价标准。</w:t>
            </w:r>
          </w:p>
          <w:p w14:paraId="142E6B31">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评价方法：采用影响因子单项污染指数法进行评价，其数学模式为：</w:t>
            </w:r>
          </w:p>
          <w:p w14:paraId="5B7A58C1">
            <w:pPr>
              <w:keepNext w:val="0"/>
              <w:keepLines w:val="0"/>
              <w:pageBreakBefore w:val="0"/>
              <w:widowControl w:val="0"/>
              <w:kinsoku/>
              <w:wordWrap/>
              <w:overflowPunct/>
              <w:topLinePunct w:val="0"/>
              <w:bidi w:val="0"/>
              <w:spacing w:line="360" w:lineRule="auto"/>
              <w:ind w:firstLine="420" w:firstLineChars="200"/>
              <w:jc w:val="center"/>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P</w:t>
            </w:r>
            <w:r>
              <w:rPr>
                <w:rFonts w:hint="default" w:ascii="Times New Roman" w:hAnsi="Times New Roman" w:cs="Times New Roman"/>
                <w:color w:val="000000"/>
                <w:spacing w:val="0"/>
                <w:position w:val="0"/>
                <w:sz w:val="21"/>
                <w:szCs w:val="21"/>
                <w:vertAlign w:val="subscript"/>
              </w:rPr>
              <w:t>i</w:t>
            </w:r>
            <w:r>
              <w:rPr>
                <w:rFonts w:hint="default" w:ascii="Times New Roman" w:hAnsi="Times New Roman" w:cs="Times New Roman"/>
                <w:color w:val="000000"/>
                <w:spacing w:val="0"/>
                <w:position w:val="0"/>
                <w:sz w:val="21"/>
                <w:szCs w:val="21"/>
              </w:rPr>
              <w:t>=C</w:t>
            </w:r>
            <w:r>
              <w:rPr>
                <w:rFonts w:hint="default" w:ascii="Times New Roman" w:hAnsi="Times New Roman" w:cs="Times New Roman"/>
                <w:color w:val="000000"/>
                <w:spacing w:val="0"/>
                <w:position w:val="0"/>
                <w:sz w:val="21"/>
                <w:szCs w:val="21"/>
                <w:vertAlign w:val="subscript"/>
              </w:rPr>
              <w:t>i</w:t>
            </w:r>
            <w:r>
              <w:rPr>
                <w:rFonts w:hint="default" w:ascii="Times New Roman" w:hAnsi="Times New Roman" w:cs="Times New Roman"/>
                <w:color w:val="000000"/>
                <w:spacing w:val="0"/>
                <w:position w:val="0"/>
                <w:sz w:val="21"/>
                <w:szCs w:val="21"/>
              </w:rPr>
              <w:t>/C</w:t>
            </w:r>
            <w:r>
              <w:rPr>
                <w:rFonts w:hint="default" w:ascii="Times New Roman" w:hAnsi="Times New Roman" w:cs="Times New Roman"/>
                <w:color w:val="000000"/>
                <w:spacing w:val="0"/>
                <w:position w:val="0"/>
                <w:sz w:val="21"/>
                <w:szCs w:val="21"/>
                <w:vertAlign w:val="subscript"/>
              </w:rPr>
              <w:t>oi</w:t>
            </w:r>
          </w:p>
          <w:p w14:paraId="22807C5C">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式中：Pi—i种污染物的占标率；</w:t>
            </w:r>
          </w:p>
          <w:p w14:paraId="471FA716">
            <w:pPr>
              <w:keepNext w:val="0"/>
              <w:keepLines w:val="0"/>
              <w:pageBreakBefore w:val="0"/>
              <w:widowControl w:val="0"/>
              <w:kinsoku/>
              <w:wordWrap/>
              <w:overflowPunct/>
              <w:topLinePunct w:val="0"/>
              <w:bidi w:val="0"/>
              <w:spacing w:line="360" w:lineRule="auto"/>
              <w:ind w:firstLine="1050" w:firstLineChars="5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C</w:t>
            </w:r>
            <w:r>
              <w:rPr>
                <w:rFonts w:hint="default" w:ascii="Times New Roman" w:hAnsi="Times New Roman" w:cs="Times New Roman"/>
                <w:color w:val="000000"/>
                <w:spacing w:val="0"/>
                <w:position w:val="0"/>
                <w:sz w:val="21"/>
                <w:szCs w:val="21"/>
                <w:vertAlign w:val="subscript"/>
              </w:rPr>
              <w:t>i</w:t>
            </w:r>
            <w:r>
              <w:rPr>
                <w:rFonts w:hint="default" w:ascii="Times New Roman" w:hAnsi="Times New Roman" w:cs="Times New Roman"/>
                <w:color w:val="000000"/>
                <w:spacing w:val="0"/>
                <w:position w:val="0"/>
                <w:sz w:val="21"/>
                <w:szCs w:val="21"/>
              </w:rPr>
              <w:t>—i种污染物的实测浓度，mg/Nm</w:t>
            </w:r>
            <w:r>
              <w:rPr>
                <w:rFonts w:hint="default" w:ascii="Times New Roman" w:hAnsi="Times New Roman" w:cs="Times New Roman"/>
                <w:color w:val="000000"/>
                <w:spacing w:val="0"/>
                <w:position w:val="0"/>
                <w:sz w:val="21"/>
                <w:szCs w:val="21"/>
                <w:vertAlign w:val="superscript"/>
              </w:rPr>
              <w:t>3</w:t>
            </w:r>
            <w:r>
              <w:rPr>
                <w:rFonts w:hint="default" w:ascii="Times New Roman" w:hAnsi="Times New Roman" w:cs="Times New Roman"/>
                <w:color w:val="000000"/>
                <w:spacing w:val="0"/>
                <w:position w:val="0"/>
                <w:sz w:val="21"/>
                <w:szCs w:val="21"/>
              </w:rPr>
              <w:t>；</w:t>
            </w:r>
          </w:p>
          <w:p w14:paraId="0E3F9A8A">
            <w:pPr>
              <w:keepNext w:val="0"/>
              <w:keepLines w:val="0"/>
              <w:pageBreakBefore w:val="0"/>
              <w:widowControl w:val="0"/>
              <w:kinsoku/>
              <w:wordWrap/>
              <w:overflowPunct/>
              <w:topLinePunct w:val="0"/>
              <w:bidi w:val="0"/>
              <w:spacing w:line="360" w:lineRule="auto"/>
              <w:ind w:firstLine="1050" w:firstLineChars="500"/>
              <w:textAlignment w:val="auto"/>
              <w:rPr>
                <w:rFonts w:hint="default" w:ascii="Times New Roman" w:hAnsi="Times New Roman" w:cs="Times New Roman"/>
                <w:color w:val="000000"/>
                <w:spacing w:val="0"/>
                <w:position w:val="0"/>
                <w:sz w:val="21"/>
                <w:szCs w:val="21"/>
              </w:rPr>
            </w:pPr>
            <w:r>
              <w:rPr>
                <w:rFonts w:hint="default" w:ascii="Times New Roman" w:hAnsi="Times New Roman" w:cs="Times New Roman"/>
                <w:color w:val="000000"/>
                <w:spacing w:val="0"/>
                <w:position w:val="0"/>
                <w:sz w:val="21"/>
                <w:szCs w:val="21"/>
              </w:rPr>
              <w:t>C</w:t>
            </w:r>
            <w:r>
              <w:rPr>
                <w:rFonts w:hint="default" w:ascii="Times New Roman" w:hAnsi="Times New Roman" w:cs="Times New Roman"/>
                <w:color w:val="000000"/>
                <w:spacing w:val="0"/>
                <w:position w:val="0"/>
                <w:sz w:val="21"/>
                <w:szCs w:val="21"/>
                <w:vertAlign w:val="subscript"/>
              </w:rPr>
              <w:t>oi</w:t>
            </w:r>
            <w:r>
              <w:rPr>
                <w:rFonts w:hint="default" w:ascii="Times New Roman" w:hAnsi="Times New Roman" w:cs="Times New Roman"/>
                <w:color w:val="000000"/>
                <w:spacing w:val="0"/>
                <w:position w:val="0"/>
                <w:sz w:val="21"/>
                <w:szCs w:val="21"/>
              </w:rPr>
              <w:t>—i种污染物的评价标准，mg/Nm</w:t>
            </w:r>
            <w:r>
              <w:rPr>
                <w:rFonts w:hint="default" w:ascii="Times New Roman" w:hAnsi="Times New Roman" w:cs="Times New Roman"/>
                <w:color w:val="000000"/>
                <w:spacing w:val="0"/>
                <w:position w:val="0"/>
                <w:sz w:val="21"/>
                <w:szCs w:val="21"/>
                <w:vertAlign w:val="superscript"/>
              </w:rPr>
              <w:t>3</w:t>
            </w:r>
            <w:r>
              <w:rPr>
                <w:rFonts w:hint="default" w:ascii="Times New Roman" w:hAnsi="Times New Roman" w:cs="Times New Roman"/>
                <w:color w:val="000000"/>
                <w:spacing w:val="0"/>
                <w:position w:val="0"/>
                <w:sz w:val="21"/>
                <w:szCs w:val="21"/>
              </w:rPr>
              <w:t>。</w:t>
            </w:r>
          </w:p>
          <w:p w14:paraId="352E14A0">
            <w:pPr>
              <w:keepNext w:val="0"/>
              <w:keepLines w:val="0"/>
              <w:pageBreakBefore w:val="0"/>
              <w:widowControl w:val="0"/>
              <w:numPr>
                <w:ilvl w:val="0"/>
                <w:numId w:val="3"/>
              </w:numPr>
              <w:kinsoku/>
              <w:wordWrap/>
              <w:overflowPunct/>
              <w:topLinePunct w:val="0"/>
              <w:bidi w:val="0"/>
              <w:spacing w:line="360" w:lineRule="auto"/>
              <w:ind w:firstLine="420" w:firstLineChars="200"/>
              <w:jc w:val="both"/>
              <w:textAlignment w:val="auto"/>
              <w:rPr>
                <w:rFonts w:hint="eastAsia" w:ascii="Times New Roman" w:hAnsi="Times New Roman" w:cs="Times New Roman"/>
                <w:color w:val="000000"/>
                <w:spacing w:val="0"/>
                <w:position w:val="0"/>
                <w:sz w:val="21"/>
                <w:szCs w:val="21"/>
                <w:lang w:val="en-US" w:eastAsia="zh-CN"/>
              </w:rPr>
            </w:pPr>
            <w:r>
              <w:rPr>
                <w:rFonts w:hint="default" w:ascii="Times New Roman" w:hAnsi="Times New Roman" w:cs="Times New Roman"/>
                <w:color w:val="000000"/>
                <w:spacing w:val="0"/>
                <w:position w:val="0"/>
                <w:sz w:val="21"/>
                <w:szCs w:val="21"/>
              </w:rPr>
              <w:t>监</w:t>
            </w:r>
            <w:r>
              <w:rPr>
                <w:rFonts w:hint="eastAsia" w:ascii="Times New Roman" w:hAnsi="Times New Roman" w:cs="Times New Roman"/>
                <w:color w:val="000000"/>
                <w:spacing w:val="0"/>
                <w:position w:val="0"/>
                <w:sz w:val="21"/>
                <w:szCs w:val="21"/>
                <w:lang w:val="en-US" w:eastAsia="zh-CN"/>
              </w:rPr>
              <w:t>测结果</w:t>
            </w:r>
          </w:p>
          <w:p w14:paraId="1D50D862">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3-2</w:t>
            </w:r>
            <w:r>
              <w:rPr>
                <w:rFonts w:hint="default" w:ascii="Times New Roman" w:hAnsi="Times New Roman" w:eastAsia="宋体" w:cs="Times New Roman"/>
                <w:b/>
                <w:snapToGrid w:val="0"/>
                <w:color w:val="auto"/>
                <w:spacing w:val="0"/>
                <w:kern w:val="0"/>
                <w:position w:val="0"/>
                <w:sz w:val="21"/>
                <w:szCs w:val="21"/>
                <w:lang w:val="en-US" w:eastAsia="zh-CN"/>
              </w:rPr>
              <w:t xml:space="preserve">   现状监测</w:t>
            </w:r>
            <w:r>
              <w:rPr>
                <w:rFonts w:hint="eastAsia" w:ascii="Times New Roman" w:hAnsi="Times New Roman" w:eastAsia="宋体" w:cs="Times New Roman"/>
                <w:b/>
                <w:snapToGrid w:val="0"/>
                <w:color w:val="auto"/>
                <w:spacing w:val="0"/>
                <w:kern w:val="0"/>
                <w:position w:val="0"/>
                <w:sz w:val="21"/>
                <w:szCs w:val="21"/>
                <w:lang w:val="en-US" w:eastAsia="zh-CN"/>
              </w:rPr>
              <w:t>结果</w:t>
            </w:r>
            <w:r>
              <w:rPr>
                <w:rFonts w:hint="default" w:ascii="Times New Roman" w:hAnsi="Times New Roman" w:eastAsia="宋体" w:cs="Times New Roman"/>
                <w:b/>
                <w:snapToGrid w:val="0"/>
                <w:color w:val="auto"/>
                <w:spacing w:val="0"/>
                <w:kern w:val="0"/>
                <w:position w:val="0"/>
                <w:sz w:val="21"/>
                <w:szCs w:val="21"/>
                <w:lang w:val="en-US" w:eastAsia="zh-CN"/>
              </w:rPr>
              <w:t>表</w:t>
            </w:r>
          </w:p>
          <w:tbl>
            <w:tblPr>
              <w:tblStyle w:val="3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2041"/>
              <w:gridCol w:w="2041"/>
              <w:gridCol w:w="2041"/>
            </w:tblGrid>
            <w:tr w14:paraId="61B87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1" w:type="dxa"/>
                  <w:tcBorders>
                    <w:tl2br w:val="nil"/>
                    <w:tr2bl w:val="nil"/>
                  </w:tcBorders>
                  <w:vAlign w:val="center"/>
                </w:tcPr>
                <w:p w14:paraId="7D33BFF3">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lang w:val="zh-CN"/>
                    </w:rPr>
                    <w:t>检测点位</w:t>
                  </w:r>
                </w:p>
              </w:tc>
              <w:tc>
                <w:tcPr>
                  <w:tcW w:w="2011" w:type="dxa"/>
                  <w:tcBorders>
                    <w:tl2br w:val="nil"/>
                    <w:tr2bl w:val="nil"/>
                  </w:tcBorders>
                  <w:vAlign w:val="center"/>
                </w:tcPr>
                <w:p w14:paraId="7D78CD0D">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rPr>
                    <w:t>采样时间</w:t>
                  </w:r>
                </w:p>
              </w:tc>
              <w:tc>
                <w:tcPr>
                  <w:tcW w:w="4024" w:type="dxa"/>
                  <w:gridSpan w:val="2"/>
                  <w:tcBorders>
                    <w:tl2br w:val="nil"/>
                    <w:tr2bl w:val="nil"/>
                  </w:tcBorders>
                  <w:vAlign w:val="center"/>
                </w:tcPr>
                <w:p w14:paraId="006F4638">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lang w:val="zh-CN"/>
                    </w:rPr>
                    <w:t>检测结果</w:t>
                  </w:r>
                </w:p>
              </w:tc>
            </w:tr>
            <w:tr w14:paraId="2F6B7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Merge w:val="restart"/>
                  <w:tcBorders>
                    <w:tl2br w:val="nil"/>
                    <w:tr2bl w:val="nil"/>
                  </w:tcBorders>
                  <w:vAlign w:val="center"/>
                </w:tcPr>
                <w:p w14:paraId="677070CB">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lang w:val="zh-CN"/>
                    </w:rPr>
                    <w:t>项目区</w:t>
                  </w:r>
                  <w:r>
                    <w:rPr>
                      <w:rFonts w:hint="default" w:ascii="Times New Roman" w:hAnsi="Times New Roman" w:eastAsia="宋体" w:cs="Times New Roman"/>
                      <w:b w:val="0"/>
                      <w:bCs w:val="0"/>
                      <w:color w:val="auto"/>
                      <w:spacing w:val="0"/>
                      <w:position w:val="0"/>
                      <w:sz w:val="21"/>
                      <w:szCs w:val="21"/>
                      <w:lang w:val="en-US" w:eastAsia="zh-CN"/>
                    </w:rPr>
                    <w:t>外北侧</w:t>
                  </w:r>
                </w:p>
              </w:tc>
              <w:tc>
                <w:tcPr>
                  <w:tcW w:w="2011" w:type="dxa"/>
                  <w:vMerge w:val="restart"/>
                  <w:tcBorders>
                    <w:tl2br w:val="nil"/>
                    <w:tr2bl w:val="nil"/>
                  </w:tcBorders>
                  <w:vAlign w:val="center"/>
                </w:tcPr>
                <w:p w14:paraId="4601164E">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default" w:ascii="Times New Roman" w:hAnsi="Times New Roman" w:eastAsia="宋体" w:cs="Times New Roman"/>
                      <w:b w:val="0"/>
                      <w:color w:val="auto"/>
                      <w:spacing w:val="0"/>
                      <w:kern w:val="2"/>
                      <w:position w:val="0"/>
                      <w:sz w:val="21"/>
                      <w:szCs w:val="21"/>
                      <w:lang w:val="en-US" w:eastAsia="zh-CN" w:bidi="ar-SA"/>
                    </w:rPr>
                    <w:t>2024年12月14日</w:t>
                  </w:r>
                </w:p>
              </w:tc>
              <w:tc>
                <w:tcPr>
                  <w:tcW w:w="2012" w:type="dxa"/>
                  <w:tcBorders>
                    <w:tl2br w:val="nil"/>
                    <w:tr2bl w:val="nil"/>
                  </w:tcBorders>
                  <w:vAlign w:val="center"/>
                </w:tcPr>
                <w:p w14:paraId="64BC6C83">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1次</w:t>
                  </w:r>
                </w:p>
              </w:tc>
              <w:tc>
                <w:tcPr>
                  <w:tcW w:w="2012" w:type="dxa"/>
                  <w:tcBorders>
                    <w:tl2br w:val="nil"/>
                    <w:tr2bl w:val="nil"/>
                  </w:tcBorders>
                  <w:vAlign w:val="center"/>
                </w:tcPr>
                <w:p w14:paraId="57906757">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0.58</w:t>
                  </w:r>
                </w:p>
              </w:tc>
            </w:tr>
            <w:tr w14:paraId="5B222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Merge w:val="continue"/>
                  <w:tcBorders>
                    <w:tl2br w:val="nil"/>
                    <w:tr2bl w:val="nil"/>
                  </w:tcBorders>
                  <w:vAlign w:val="center"/>
                </w:tcPr>
                <w:p w14:paraId="328C7DF5">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2011" w:type="dxa"/>
                  <w:vMerge w:val="continue"/>
                  <w:tcBorders>
                    <w:tl2br w:val="nil"/>
                    <w:tr2bl w:val="nil"/>
                  </w:tcBorders>
                  <w:vAlign w:val="center"/>
                </w:tcPr>
                <w:p w14:paraId="02F1E6E6">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5A42F524">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2次</w:t>
                  </w:r>
                </w:p>
              </w:tc>
              <w:tc>
                <w:tcPr>
                  <w:tcW w:w="2012" w:type="dxa"/>
                  <w:tcBorders>
                    <w:tl2br w:val="nil"/>
                    <w:tr2bl w:val="nil"/>
                  </w:tcBorders>
                  <w:vAlign w:val="center"/>
                </w:tcPr>
                <w:p w14:paraId="52505D87">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0.64</w:t>
                  </w:r>
                </w:p>
              </w:tc>
            </w:tr>
            <w:tr w14:paraId="19FC5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Merge w:val="continue"/>
                  <w:tcBorders>
                    <w:tl2br w:val="nil"/>
                    <w:tr2bl w:val="nil"/>
                  </w:tcBorders>
                  <w:vAlign w:val="center"/>
                </w:tcPr>
                <w:p w14:paraId="253F2D1F">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530982CF">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435E9997">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3次</w:t>
                  </w:r>
                </w:p>
              </w:tc>
              <w:tc>
                <w:tcPr>
                  <w:tcW w:w="2012" w:type="dxa"/>
                  <w:tcBorders>
                    <w:tl2br w:val="nil"/>
                    <w:tr2bl w:val="nil"/>
                  </w:tcBorders>
                  <w:vAlign w:val="center"/>
                </w:tcPr>
                <w:p w14:paraId="093E7700">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0.54</w:t>
                  </w:r>
                </w:p>
              </w:tc>
            </w:tr>
            <w:tr w14:paraId="2FEB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011" w:type="dxa"/>
                  <w:vMerge w:val="continue"/>
                  <w:tcBorders>
                    <w:tl2br w:val="nil"/>
                    <w:tr2bl w:val="nil"/>
                  </w:tcBorders>
                  <w:vAlign w:val="center"/>
                </w:tcPr>
                <w:p w14:paraId="1C081326">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381DBD6C">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4AA7696A">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4次</w:t>
                  </w:r>
                </w:p>
              </w:tc>
              <w:tc>
                <w:tcPr>
                  <w:tcW w:w="2012" w:type="dxa"/>
                  <w:tcBorders>
                    <w:tl2br w:val="nil"/>
                    <w:tr2bl w:val="nil"/>
                  </w:tcBorders>
                  <w:vAlign w:val="center"/>
                </w:tcPr>
                <w:p w14:paraId="1C0E8E3E">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0.58</w:t>
                  </w:r>
                </w:p>
              </w:tc>
            </w:tr>
            <w:tr w14:paraId="0A538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Merge w:val="restart"/>
                  <w:tcBorders>
                    <w:tl2br w:val="nil"/>
                    <w:tr2bl w:val="nil"/>
                  </w:tcBorders>
                  <w:vAlign w:val="center"/>
                </w:tcPr>
                <w:p w14:paraId="3ECEE99B">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lang w:val="zh-CN"/>
                    </w:rPr>
                    <w:t>项目区</w:t>
                  </w:r>
                  <w:r>
                    <w:rPr>
                      <w:rFonts w:hint="default" w:ascii="Times New Roman" w:hAnsi="Times New Roman" w:eastAsia="宋体" w:cs="Times New Roman"/>
                      <w:b w:val="0"/>
                      <w:bCs w:val="0"/>
                      <w:color w:val="auto"/>
                      <w:spacing w:val="0"/>
                      <w:position w:val="0"/>
                      <w:sz w:val="21"/>
                      <w:szCs w:val="21"/>
                      <w:lang w:val="en-US" w:eastAsia="zh-CN"/>
                    </w:rPr>
                    <w:t>外西侧</w:t>
                  </w:r>
                </w:p>
              </w:tc>
              <w:tc>
                <w:tcPr>
                  <w:tcW w:w="2011" w:type="dxa"/>
                  <w:vMerge w:val="restart"/>
                  <w:tcBorders>
                    <w:tl2br w:val="nil"/>
                    <w:tr2bl w:val="nil"/>
                  </w:tcBorders>
                  <w:vAlign w:val="center"/>
                </w:tcPr>
                <w:p w14:paraId="14523F74">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default" w:ascii="Times New Roman" w:hAnsi="Times New Roman" w:eastAsia="宋体" w:cs="Times New Roman"/>
                      <w:b w:val="0"/>
                      <w:color w:val="auto"/>
                      <w:spacing w:val="0"/>
                      <w:kern w:val="2"/>
                      <w:position w:val="0"/>
                      <w:sz w:val="21"/>
                      <w:szCs w:val="21"/>
                      <w:lang w:val="en-US" w:eastAsia="zh-CN" w:bidi="ar-SA"/>
                    </w:rPr>
                    <w:t>2024年12月15日</w:t>
                  </w:r>
                </w:p>
              </w:tc>
              <w:tc>
                <w:tcPr>
                  <w:tcW w:w="2012" w:type="dxa"/>
                  <w:tcBorders>
                    <w:tl2br w:val="nil"/>
                    <w:tr2bl w:val="nil"/>
                  </w:tcBorders>
                  <w:vAlign w:val="center"/>
                </w:tcPr>
                <w:p w14:paraId="185F5921">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1次</w:t>
                  </w:r>
                </w:p>
              </w:tc>
              <w:tc>
                <w:tcPr>
                  <w:tcW w:w="2012" w:type="dxa"/>
                  <w:tcBorders>
                    <w:tl2br w:val="nil"/>
                    <w:tr2bl w:val="nil"/>
                  </w:tcBorders>
                  <w:vAlign w:val="center"/>
                </w:tcPr>
                <w:p w14:paraId="053CD4C3">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0.54</w:t>
                  </w:r>
                </w:p>
              </w:tc>
            </w:tr>
            <w:tr w14:paraId="509A4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2011" w:type="dxa"/>
                  <w:vMerge w:val="continue"/>
                  <w:tcBorders>
                    <w:tl2br w:val="nil"/>
                    <w:tr2bl w:val="nil"/>
                  </w:tcBorders>
                  <w:vAlign w:val="center"/>
                </w:tcPr>
                <w:p w14:paraId="392099D3">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2011" w:type="dxa"/>
                  <w:vMerge w:val="continue"/>
                  <w:tcBorders>
                    <w:tl2br w:val="nil"/>
                    <w:tr2bl w:val="nil"/>
                  </w:tcBorders>
                  <w:vAlign w:val="center"/>
                </w:tcPr>
                <w:p w14:paraId="4E5D4AA1">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1B19188D">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2次</w:t>
                  </w:r>
                </w:p>
              </w:tc>
              <w:tc>
                <w:tcPr>
                  <w:tcW w:w="2012" w:type="dxa"/>
                  <w:tcBorders>
                    <w:tl2br w:val="nil"/>
                    <w:tr2bl w:val="nil"/>
                  </w:tcBorders>
                  <w:vAlign w:val="center"/>
                </w:tcPr>
                <w:p w14:paraId="25DE88FD">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0.57</w:t>
                  </w:r>
                </w:p>
              </w:tc>
            </w:tr>
            <w:tr w14:paraId="7FBC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011" w:type="dxa"/>
                  <w:vMerge w:val="continue"/>
                  <w:tcBorders>
                    <w:tl2br w:val="nil"/>
                    <w:tr2bl w:val="nil"/>
                  </w:tcBorders>
                  <w:vAlign w:val="center"/>
                </w:tcPr>
                <w:p w14:paraId="0E30D6FC">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45567D45">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700F40CD">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3次</w:t>
                  </w:r>
                </w:p>
              </w:tc>
              <w:tc>
                <w:tcPr>
                  <w:tcW w:w="2012" w:type="dxa"/>
                  <w:tcBorders>
                    <w:tl2br w:val="nil"/>
                    <w:tr2bl w:val="nil"/>
                  </w:tcBorders>
                  <w:vAlign w:val="center"/>
                </w:tcPr>
                <w:p w14:paraId="73A17504">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0.64</w:t>
                  </w:r>
                </w:p>
              </w:tc>
            </w:tr>
            <w:tr w14:paraId="2D169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011" w:type="dxa"/>
                  <w:vMerge w:val="continue"/>
                  <w:tcBorders>
                    <w:tl2br w:val="nil"/>
                    <w:tr2bl w:val="nil"/>
                  </w:tcBorders>
                  <w:vAlign w:val="center"/>
                </w:tcPr>
                <w:p w14:paraId="23C46F27">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74A3BB54">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p>
              </w:tc>
              <w:tc>
                <w:tcPr>
                  <w:tcW w:w="2012" w:type="dxa"/>
                  <w:tcBorders>
                    <w:tl2br w:val="nil"/>
                    <w:tr2bl w:val="nil"/>
                  </w:tcBorders>
                  <w:vAlign w:val="center"/>
                </w:tcPr>
                <w:p w14:paraId="5186D7CF">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4次</w:t>
                  </w:r>
                </w:p>
              </w:tc>
              <w:tc>
                <w:tcPr>
                  <w:tcW w:w="2012" w:type="dxa"/>
                  <w:tcBorders>
                    <w:tl2br w:val="nil"/>
                    <w:tr2bl w:val="nil"/>
                  </w:tcBorders>
                  <w:vAlign w:val="center"/>
                </w:tcPr>
                <w:p w14:paraId="311F9910">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0.64</w:t>
                  </w:r>
                </w:p>
              </w:tc>
            </w:tr>
            <w:tr w14:paraId="5B7B0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Merge w:val="restart"/>
                  <w:tcBorders>
                    <w:tl2br w:val="nil"/>
                    <w:tr2bl w:val="nil"/>
                  </w:tcBorders>
                  <w:vAlign w:val="center"/>
                </w:tcPr>
                <w:p w14:paraId="69A2CF7B">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lang w:val="zh-CN"/>
                    </w:rPr>
                    <w:t>项目区</w:t>
                  </w:r>
                  <w:r>
                    <w:rPr>
                      <w:rFonts w:hint="default" w:ascii="Times New Roman" w:hAnsi="Times New Roman" w:eastAsia="宋体" w:cs="Times New Roman"/>
                      <w:b w:val="0"/>
                      <w:bCs w:val="0"/>
                      <w:color w:val="auto"/>
                      <w:spacing w:val="0"/>
                      <w:position w:val="0"/>
                      <w:sz w:val="21"/>
                      <w:szCs w:val="21"/>
                      <w:lang w:val="en-US" w:eastAsia="zh-CN"/>
                    </w:rPr>
                    <w:t>外北侧</w:t>
                  </w:r>
                </w:p>
              </w:tc>
              <w:tc>
                <w:tcPr>
                  <w:tcW w:w="2011" w:type="dxa"/>
                  <w:vMerge w:val="restart"/>
                  <w:tcBorders>
                    <w:tl2br w:val="nil"/>
                    <w:tr2bl w:val="nil"/>
                  </w:tcBorders>
                  <w:vAlign w:val="center"/>
                </w:tcPr>
                <w:p w14:paraId="5118DE48">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color w:val="auto"/>
                      <w:spacing w:val="0"/>
                      <w:kern w:val="2"/>
                      <w:position w:val="0"/>
                      <w:sz w:val="21"/>
                      <w:szCs w:val="21"/>
                      <w:lang w:val="en-US" w:eastAsia="zh-CN" w:bidi="ar-SA"/>
                    </w:rPr>
                  </w:pPr>
                  <w:r>
                    <w:rPr>
                      <w:rFonts w:hint="default" w:ascii="Times New Roman" w:hAnsi="Times New Roman" w:eastAsia="宋体" w:cs="Times New Roman"/>
                      <w:b w:val="0"/>
                      <w:color w:val="auto"/>
                      <w:spacing w:val="0"/>
                      <w:kern w:val="2"/>
                      <w:position w:val="0"/>
                      <w:sz w:val="21"/>
                      <w:szCs w:val="21"/>
                      <w:lang w:val="en-US" w:eastAsia="zh-CN" w:bidi="ar-SA"/>
                    </w:rPr>
                    <w:t>2024年12月16日</w:t>
                  </w:r>
                </w:p>
              </w:tc>
              <w:tc>
                <w:tcPr>
                  <w:tcW w:w="2012" w:type="dxa"/>
                  <w:tcBorders>
                    <w:tl2br w:val="nil"/>
                    <w:tr2bl w:val="nil"/>
                  </w:tcBorders>
                  <w:vAlign w:val="center"/>
                </w:tcPr>
                <w:p w14:paraId="72CDA62E">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1次</w:t>
                  </w:r>
                </w:p>
              </w:tc>
              <w:tc>
                <w:tcPr>
                  <w:tcW w:w="2012" w:type="dxa"/>
                  <w:tcBorders>
                    <w:tl2br w:val="nil"/>
                    <w:tr2bl w:val="nil"/>
                  </w:tcBorders>
                  <w:vAlign w:val="center"/>
                </w:tcPr>
                <w:p w14:paraId="5D28EF04">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0.63</w:t>
                  </w:r>
                </w:p>
              </w:tc>
            </w:tr>
            <w:tr w14:paraId="72525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11" w:type="dxa"/>
                  <w:vMerge w:val="continue"/>
                  <w:tcBorders>
                    <w:tl2br w:val="nil"/>
                    <w:tr2bl w:val="nil"/>
                  </w:tcBorders>
                  <w:vAlign w:val="center"/>
                </w:tcPr>
                <w:p w14:paraId="76A30E0A">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2011" w:type="dxa"/>
                  <w:vMerge w:val="continue"/>
                  <w:tcBorders>
                    <w:tl2br w:val="nil"/>
                    <w:tr2bl w:val="nil"/>
                  </w:tcBorders>
                  <w:vAlign w:val="center"/>
                </w:tcPr>
                <w:p w14:paraId="68D37705">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2012" w:type="dxa"/>
                  <w:tcBorders>
                    <w:tl2br w:val="nil"/>
                    <w:tr2bl w:val="nil"/>
                  </w:tcBorders>
                  <w:vAlign w:val="center"/>
                </w:tcPr>
                <w:p w14:paraId="56F0574E">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2次</w:t>
                  </w:r>
                </w:p>
              </w:tc>
              <w:tc>
                <w:tcPr>
                  <w:tcW w:w="2012" w:type="dxa"/>
                  <w:tcBorders>
                    <w:tl2br w:val="nil"/>
                    <w:tr2bl w:val="nil"/>
                  </w:tcBorders>
                  <w:vAlign w:val="center"/>
                </w:tcPr>
                <w:p w14:paraId="59E9F1FA">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0.64</w:t>
                  </w:r>
                </w:p>
              </w:tc>
            </w:tr>
            <w:tr w14:paraId="52C9E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11" w:type="dxa"/>
                  <w:vMerge w:val="continue"/>
                  <w:tcBorders>
                    <w:tl2br w:val="nil"/>
                    <w:tr2bl w:val="nil"/>
                  </w:tcBorders>
                  <w:vAlign w:val="center"/>
                </w:tcPr>
                <w:p w14:paraId="5CC98ED2">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5DA70598">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2" w:type="dxa"/>
                  <w:tcBorders>
                    <w:tl2br w:val="nil"/>
                    <w:tr2bl w:val="nil"/>
                  </w:tcBorders>
                  <w:vAlign w:val="center"/>
                </w:tcPr>
                <w:p w14:paraId="7E33AC1E">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3次</w:t>
                  </w:r>
                </w:p>
              </w:tc>
              <w:tc>
                <w:tcPr>
                  <w:tcW w:w="2012" w:type="dxa"/>
                  <w:tcBorders>
                    <w:tl2br w:val="nil"/>
                    <w:tr2bl w:val="nil"/>
                  </w:tcBorders>
                  <w:vAlign w:val="center"/>
                </w:tcPr>
                <w:p w14:paraId="48F0D596">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0.60</w:t>
                  </w:r>
                </w:p>
              </w:tc>
            </w:tr>
            <w:tr w14:paraId="5C030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11" w:type="dxa"/>
                  <w:vMerge w:val="continue"/>
                  <w:tcBorders>
                    <w:tl2br w:val="nil"/>
                    <w:tr2bl w:val="nil"/>
                  </w:tcBorders>
                  <w:vAlign w:val="center"/>
                </w:tcPr>
                <w:p w14:paraId="4635D284">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1" w:type="dxa"/>
                  <w:vMerge w:val="continue"/>
                  <w:tcBorders>
                    <w:tl2br w:val="nil"/>
                    <w:tr2bl w:val="nil"/>
                  </w:tcBorders>
                  <w:vAlign w:val="center"/>
                </w:tcPr>
                <w:p w14:paraId="30DADEBE">
                  <w:pPr>
                    <w:pStyle w:val="2"/>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p>
              </w:tc>
              <w:tc>
                <w:tcPr>
                  <w:tcW w:w="2012" w:type="dxa"/>
                  <w:tcBorders>
                    <w:tl2br w:val="nil"/>
                    <w:tr2bl w:val="nil"/>
                  </w:tcBorders>
                  <w:vAlign w:val="center"/>
                </w:tcPr>
                <w:p w14:paraId="7AA824F9">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rPr>
                    <w:t>4次</w:t>
                  </w:r>
                </w:p>
              </w:tc>
              <w:tc>
                <w:tcPr>
                  <w:tcW w:w="2012" w:type="dxa"/>
                  <w:tcBorders>
                    <w:tl2br w:val="nil"/>
                    <w:tr2bl w:val="nil"/>
                  </w:tcBorders>
                  <w:vAlign w:val="center"/>
                </w:tcPr>
                <w:p w14:paraId="0EDFD7BD">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cs="Times New Roman"/>
                      <w:color w:val="auto"/>
                      <w:spacing w:val="0"/>
                      <w:position w:val="0"/>
                      <w:sz w:val="21"/>
                      <w:szCs w:val="21"/>
                      <w:lang w:val="en-US" w:eastAsia="zh-CN"/>
                    </w:rPr>
                    <w:t>0.57</w:t>
                  </w:r>
                </w:p>
              </w:tc>
            </w:tr>
          </w:tbl>
          <w:p w14:paraId="3FFD2D1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eastAsia="zh-CN"/>
              </w:rPr>
              <w:t>（</w:t>
            </w:r>
            <w:r>
              <w:rPr>
                <w:rFonts w:hint="eastAsia"/>
                <w:color w:val="auto"/>
                <w:spacing w:val="0"/>
                <w:kern w:val="0"/>
                <w:position w:val="0"/>
                <w:sz w:val="21"/>
                <w:szCs w:val="21"/>
                <w:lang w:val="en-US" w:eastAsia="zh-CN"/>
              </w:rPr>
              <w:t>5</w:t>
            </w:r>
            <w:r>
              <w:rPr>
                <w:rFonts w:hint="eastAsia"/>
                <w:color w:val="auto"/>
                <w:spacing w:val="0"/>
                <w:kern w:val="0"/>
                <w:position w:val="0"/>
                <w:sz w:val="21"/>
                <w:szCs w:val="21"/>
                <w:lang w:eastAsia="zh-CN"/>
              </w:rPr>
              <w:t>）</w:t>
            </w:r>
            <w:r>
              <w:rPr>
                <w:rFonts w:hint="eastAsia"/>
                <w:color w:val="auto"/>
                <w:spacing w:val="0"/>
                <w:kern w:val="0"/>
                <w:position w:val="0"/>
                <w:sz w:val="21"/>
                <w:szCs w:val="21"/>
                <w:lang w:val="en-US" w:eastAsia="zh-CN"/>
              </w:rPr>
              <w:t>评价结果</w:t>
            </w:r>
          </w:p>
          <w:p w14:paraId="71F1179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color w:val="auto"/>
                <w:spacing w:val="0"/>
                <w:kern w:val="0"/>
                <w:position w:val="0"/>
                <w:sz w:val="21"/>
                <w:szCs w:val="21"/>
              </w:rPr>
            </w:pPr>
            <w:r>
              <w:rPr>
                <w:rFonts w:hint="eastAsia"/>
                <w:color w:val="auto"/>
                <w:spacing w:val="0"/>
                <w:kern w:val="0"/>
                <w:position w:val="0"/>
                <w:sz w:val="21"/>
                <w:szCs w:val="21"/>
                <w:lang w:val="en-US" w:eastAsia="zh-CN"/>
              </w:rPr>
              <w:t>本项目环境空气质量</w:t>
            </w:r>
            <w:r>
              <w:rPr>
                <w:color w:val="auto"/>
                <w:spacing w:val="0"/>
                <w:kern w:val="0"/>
                <w:position w:val="0"/>
                <w:sz w:val="21"/>
                <w:szCs w:val="21"/>
              </w:rPr>
              <w:t>评价结果见表</w:t>
            </w:r>
            <w:r>
              <w:rPr>
                <w:rFonts w:hint="eastAsia"/>
                <w:color w:val="auto"/>
                <w:spacing w:val="0"/>
                <w:kern w:val="0"/>
                <w:position w:val="0"/>
                <w:sz w:val="21"/>
                <w:szCs w:val="21"/>
              </w:rPr>
              <w:t>3-</w:t>
            </w:r>
            <w:r>
              <w:rPr>
                <w:rFonts w:hint="eastAsia"/>
                <w:color w:val="auto"/>
                <w:spacing w:val="0"/>
                <w:kern w:val="0"/>
                <w:position w:val="0"/>
                <w:sz w:val="21"/>
                <w:szCs w:val="21"/>
                <w:lang w:val="en-US" w:eastAsia="zh-CN"/>
              </w:rPr>
              <w:t>3</w:t>
            </w:r>
            <w:r>
              <w:rPr>
                <w:color w:val="auto"/>
                <w:spacing w:val="0"/>
                <w:kern w:val="0"/>
                <w:position w:val="0"/>
                <w:sz w:val="21"/>
                <w:szCs w:val="21"/>
              </w:rPr>
              <w:t>。</w:t>
            </w:r>
          </w:p>
          <w:p w14:paraId="56DFC16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pacing w:val="0"/>
                <w:kern w:val="0"/>
                <w:position w:val="0"/>
                <w:sz w:val="21"/>
                <w:szCs w:val="21"/>
                <w:lang w:val="en-US" w:eastAsia="zh-CN"/>
              </w:rPr>
            </w:pPr>
            <w:r>
              <w:rPr>
                <w:rFonts w:hint="default" w:ascii="Times New Roman" w:hAnsi="Times New Roman" w:eastAsia="宋体" w:cs="Times New Roman"/>
                <w:b/>
                <w:snapToGrid w:val="0"/>
                <w:color w:val="auto"/>
                <w:spacing w:val="0"/>
                <w:kern w:val="0"/>
                <w:position w:val="0"/>
                <w:sz w:val="21"/>
                <w:szCs w:val="21"/>
                <w:lang w:val="en-US"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3-3</w:t>
            </w:r>
            <w:r>
              <w:rPr>
                <w:rFonts w:hint="default" w:ascii="Times New Roman" w:hAnsi="Times New Roman" w:eastAsia="宋体" w:cs="Times New Roman"/>
                <w:b/>
                <w:snapToGrid w:val="0"/>
                <w:color w:val="auto"/>
                <w:spacing w:val="0"/>
                <w:kern w:val="0"/>
                <w:position w:val="0"/>
                <w:sz w:val="21"/>
                <w:szCs w:val="21"/>
                <w:lang w:val="en-US" w:eastAsia="zh-CN"/>
              </w:rPr>
              <w:t xml:space="preserve">   现状监测结果分析表</w:t>
            </w:r>
          </w:p>
          <w:tbl>
            <w:tblPr>
              <w:tblStyle w:val="30"/>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1"/>
              <w:gridCol w:w="3037"/>
              <w:gridCol w:w="1056"/>
              <w:gridCol w:w="1056"/>
              <w:gridCol w:w="1056"/>
              <w:gridCol w:w="984"/>
            </w:tblGrid>
            <w:tr w14:paraId="0F3DE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594" w:type="pct"/>
                  <w:tcBorders>
                    <w:tl2br w:val="nil"/>
                    <w:tr2bl w:val="nil"/>
                  </w:tcBorders>
                  <w:vAlign w:val="center"/>
                </w:tcPr>
                <w:p w14:paraId="00A8F68F">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监测因子</w:t>
                  </w:r>
                </w:p>
              </w:tc>
              <w:tc>
                <w:tcPr>
                  <w:tcW w:w="1860" w:type="pct"/>
                  <w:tcBorders>
                    <w:tl2br w:val="nil"/>
                    <w:tr2bl w:val="nil"/>
                  </w:tcBorders>
                  <w:vAlign w:val="center"/>
                </w:tcPr>
                <w:p w14:paraId="743BD9E7">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评价指标</w:t>
                  </w:r>
                </w:p>
              </w:tc>
              <w:tc>
                <w:tcPr>
                  <w:tcW w:w="647" w:type="pct"/>
                  <w:tcBorders>
                    <w:tl2br w:val="nil"/>
                    <w:tr2bl w:val="nil"/>
                  </w:tcBorders>
                  <w:vAlign w:val="center"/>
                </w:tcPr>
                <w:p w14:paraId="51BCB01C">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现状浓度（</w:t>
                  </w:r>
                  <w:r>
                    <w:rPr>
                      <w:rFonts w:hint="default" w:ascii="Times New Roman" w:hAnsi="Times New Roman" w:cs="Times New Roman"/>
                      <w:color w:val="auto"/>
                      <w:spacing w:val="0"/>
                      <w:kern w:val="0"/>
                      <w:position w:val="0"/>
                      <w:sz w:val="21"/>
                      <w:szCs w:val="21"/>
                      <w:lang w:eastAsia="zh-CN"/>
                    </w:rPr>
                    <w:t>μ</w:t>
                  </w:r>
                  <w:r>
                    <w:rPr>
                      <w:rFonts w:hint="eastAsia"/>
                      <w:color w:val="auto"/>
                      <w:spacing w:val="0"/>
                      <w:kern w:val="0"/>
                      <w:position w:val="0"/>
                      <w:sz w:val="21"/>
                      <w:szCs w:val="21"/>
                      <w:lang w:eastAsia="zh-CN"/>
                    </w:rPr>
                    <w:t>g/m</w:t>
                  </w:r>
                  <w:r>
                    <w:rPr>
                      <w:rFonts w:hint="eastAsia"/>
                      <w:color w:val="auto"/>
                      <w:spacing w:val="0"/>
                      <w:kern w:val="0"/>
                      <w:position w:val="0"/>
                      <w:sz w:val="21"/>
                      <w:szCs w:val="21"/>
                      <w:vertAlign w:val="superscript"/>
                      <w:lang w:eastAsia="zh-CN"/>
                    </w:rPr>
                    <w:t>3</w:t>
                  </w:r>
                  <w:r>
                    <w:rPr>
                      <w:rFonts w:hint="eastAsia"/>
                      <w:color w:val="auto"/>
                      <w:spacing w:val="0"/>
                      <w:kern w:val="0"/>
                      <w:position w:val="0"/>
                      <w:sz w:val="21"/>
                      <w:szCs w:val="21"/>
                    </w:rPr>
                    <w:t>）</w:t>
                  </w:r>
                </w:p>
              </w:tc>
              <w:tc>
                <w:tcPr>
                  <w:tcW w:w="647" w:type="pct"/>
                  <w:tcBorders>
                    <w:tl2br w:val="nil"/>
                    <w:tr2bl w:val="nil"/>
                  </w:tcBorders>
                  <w:vAlign w:val="center"/>
                </w:tcPr>
                <w:p w14:paraId="02135BE1">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标准值（</w:t>
                  </w:r>
                  <w:r>
                    <w:rPr>
                      <w:rFonts w:hint="default" w:ascii="Times New Roman" w:hAnsi="Times New Roman" w:cs="Times New Roman"/>
                      <w:color w:val="auto"/>
                      <w:spacing w:val="0"/>
                      <w:kern w:val="0"/>
                      <w:position w:val="0"/>
                      <w:sz w:val="21"/>
                      <w:szCs w:val="21"/>
                      <w:lang w:eastAsia="zh-CN"/>
                    </w:rPr>
                    <w:t>μ</w:t>
                  </w:r>
                  <w:r>
                    <w:rPr>
                      <w:rFonts w:hint="eastAsia"/>
                      <w:color w:val="auto"/>
                      <w:spacing w:val="0"/>
                      <w:kern w:val="0"/>
                      <w:position w:val="0"/>
                      <w:sz w:val="21"/>
                      <w:szCs w:val="21"/>
                    </w:rPr>
                    <w:t>g/m</w:t>
                  </w:r>
                  <w:r>
                    <w:rPr>
                      <w:rFonts w:hint="eastAsia"/>
                      <w:color w:val="auto"/>
                      <w:spacing w:val="0"/>
                      <w:kern w:val="0"/>
                      <w:position w:val="0"/>
                      <w:sz w:val="21"/>
                      <w:szCs w:val="21"/>
                      <w:vertAlign w:val="superscript"/>
                    </w:rPr>
                    <w:t>3</w:t>
                  </w:r>
                  <w:r>
                    <w:rPr>
                      <w:rFonts w:hint="eastAsia"/>
                      <w:color w:val="auto"/>
                      <w:spacing w:val="0"/>
                      <w:kern w:val="0"/>
                      <w:position w:val="0"/>
                      <w:sz w:val="21"/>
                      <w:szCs w:val="21"/>
                    </w:rPr>
                    <w:t>）</w:t>
                  </w:r>
                </w:p>
              </w:tc>
              <w:tc>
                <w:tcPr>
                  <w:tcW w:w="647" w:type="pct"/>
                  <w:tcBorders>
                    <w:tl2br w:val="nil"/>
                    <w:tr2bl w:val="nil"/>
                  </w:tcBorders>
                  <w:vAlign w:val="center"/>
                </w:tcPr>
                <w:p w14:paraId="602DD1C2">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占标率%</w:t>
                  </w:r>
                </w:p>
              </w:tc>
              <w:tc>
                <w:tcPr>
                  <w:tcW w:w="602" w:type="pct"/>
                  <w:tcBorders>
                    <w:tl2br w:val="nil"/>
                    <w:tr2bl w:val="nil"/>
                  </w:tcBorders>
                  <w:vAlign w:val="center"/>
                </w:tcPr>
                <w:p w14:paraId="2A2046D0">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达标情况</w:t>
                  </w:r>
                </w:p>
              </w:tc>
            </w:tr>
            <w:tr w14:paraId="20FAA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94" w:type="pct"/>
                  <w:tcBorders>
                    <w:tl2br w:val="nil"/>
                    <w:tr2bl w:val="nil"/>
                  </w:tcBorders>
                  <w:vAlign w:val="center"/>
                </w:tcPr>
                <w:p w14:paraId="431FC9F3">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SO</w:t>
                  </w:r>
                  <w:r>
                    <w:rPr>
                      <w:rFonts w:hint="eastAsia"/>
                      <w:color w:val="auto"/>
                      <w:spacing w:val="0"/>
                      <w:kern w:val="0"/>
                      <w:position w:val="0"/>
                      <w:sz w:val="21"/>
                      <w:szCs w:val="21"/>
                      <w:vertAlign w:val="subscript"/>
                    </w:rPr>
                    <w:t>2</w:t>
                  </w:r>
                </w:p>
              </w:tc>
              <w:tc>
                <w:tcPr>
                  <w:tcW w:w="1860" w:type="pct"/>
                  <w:tcBorders>
                    <w:tl2br w:val="nil"/>
                    <w:tr2bl w:val="nil"/>
                  </w:tcBorders>
                  <w:vAlign w:val="center"/>
                </w:tcPr>
                <w:p w14:paraId="174DC44D">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年平均值</w:t>
                  </w:r>
                </w:p>
              </w:tc>
              <w:tc>
                <w:tcPr>
                  <w:tcW w:w="647" w:type="pct"/>
                  <w:tcBorders>
                    <w:tl2br w:val="nil"/>
                    <w:tr2bl w:val="nil"/>
                  </w:tcBorders>
                  <w:vAlign w:val="center"/>
                </w:tcPr>
                <w:p w14:paraId="00F378E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6</w:t>
                  </w:r>
                </w:p>
              </w:tc>
              <w:tc>
                <w:tcPr>
                  <w:tcW w:w="647" w:type="pct"/>
                  <w:tcBorders>
                    <w:tl2br w:val="nil"/>
                    <w:tr2bl w:val="nil"/>
                  </w:tcBorders>
                  <w:vAlign w:val="center"/>
                </w:tcPr>
                <w:p w14:paraId="2DB75B5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60</w:t>
                  </w:r>
                </w:p>
              </w:tc>
              <w:tc>
                <w:tcPr>
                  <w:tcW w:w="647" w:type="pct"/>
                  <w:tcBorders>
                    <w:tl2br w:val="nil"/>
                    <w:tr2bl w:val="nil"/>
                  </w:tcBorders>
                  <w:vAlign w:val="center"/>
                </w:tcPr>
                <w:p w14:paraId="375C612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10</w:t>
                  </w:r>
                </w:p>
              </w:tc>
              <w:tc>
                <w:tcPr>
                  <w:tcW w:w="602" w:type="pct"/>
                  <w:tcBorders>
                    <w:tl2br w:val="nil"/>
                    <w:tr2bl w:val="nil"/>
                  </w:tcBorders>
                  <w:vAlign w:val="center"/>
                </w:tcPr>
                <w:p w14:paraId="5B819331">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w:t>
                  </w:r>
                </w:p>
              </w:tc>
            </w:tr>
            <w:tr w14:paraId="6744A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94" w:type="pct"/>
                  <w:tcBorders>
                    <w:tl2br w:val="nil"/>
                    <w:tr2bl w:val="nil"/>
                  </w:tcBorders>
                  <w:vAlign w:val="center"/>
                </w:tcPr>
                <w:p w14:paraId="1662E8E6">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NO</w:t>
                  </w:r>
                  <w:r>
                    <w:rPr>
                      <w:rFonts w:hint="eastAsia"/>
                      <w:color w:val="auto"/>
                      <w:spacing w:val="0"/>
                      <w:kern w:val="0"/>
                      <w:position w:val="0"/>
                      <w:sz w:val="21"/>
                      <w:szCs w:val="21"/>
                      <w:vertAlign w:val="subscript"/>
                    </w:rPr>
                    <w:t>2</w:t>
                  </w:r>
                </w:p>
              </w:tc>
              <w:tc>
                <w:tcPr>
                  <w:tcW w:w="1860" w:type="pct"/>
                  <w:tcBorders>
                    <w:tl2br w:val="nil"/>
                    <w:tr2bl w:val="nil"/>
                  </w:tcBorders>
                  <w:vAlign w:val="center"/>
                </w:tcPr>
                <w:p w14:paraId="0D983623">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年平均值</w:t>
                  </w:r>
                </w:p>
              </w:tc>
              <w:tc>
                <w:tcPr>
                  <w:tcW w:w="647" w:type="pct"/>
                  <w:tcBorders>
                    <w:tl2br w:val="nil"/>
                    <w:tr2bl w:val="nil"/>
                  </w:tcBorders>
                  <w:vAlign w:val="center"/>
                </w:tcPr>
                <w:p w14:paraId="44BE837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19</w:t>
                  </w:r>
                </w:p>
              </w:tc>
              <w:tc>
                <w:tcPr>
                  <w:tcW w:w="647" w:type="pct"/>
                  <w:tcBorders>
                    <w:tl2br w:val="nil"/>
                    <w:tr2bl w:val="nil"/>
                  </w:tcBorders>
                  <w:vAlign w:val="center"/>
                </w:tcPr>
                <w:p w14:paraId="6594BDD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40</w:t>
                  </w:r>
                </w:p>
              </w:tc>
              <w:tc>
                <w:tcPr>
                  <w:tcW w:w="647" w:type="pct"/>
                  <w:tcBorders>
                    <w:tl2br w:val="nil"/>
                    <w:tr2bl w:val="nil"/>
                  </w:tcBorders>
                  <w:vAlign w:val="center"/>
                </w:tcPr>
                <w:p w14:paraId="4A0445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47.5</w:t>
                  </w:r>
                </w:p>
              </w:tc>
              <w:tc>
                <w:tcPr>
                  <w:tcW w:w="602" w:type="pct"/>
                  <w:tcBorders>
                    <w:tl2br w:val="nil"/>
                    <w:tr2bl w:val="nil"/>
                  </w:tcBorders>
                  <w:vAlign w:val="center"/>
                </w:tcPr>
                <w:p w14:paraId="2749E61F">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w:t>
                  </w:r>
                </w:p>
              </w:tc>
            </w:tr>
            <w:tr w14:paraId="5A812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594" w:type="pct"/>
                  <w:tcBorders>
                    <w:tl2br w:val="nil"/>
                    <w:tr2bl w:val="nil"/>
                  </w:tcBorders>
                  <w:vAlign w:val="center"/>
                </w:tcPr>
                <w:p w14:paraId="77FA220C">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PM</w:t>
                  </w:r>
                  <w:r>
                    <w:rPr>
                      <w:rFonts w:hint="eastAsia"/>
                      <w:color w:val="auto"/>
                      <w:spacing w:val="0"/>
                      <w:kern w:val="0"/>
                      <w:position w:val="0"/>
                      <w:sz w:val="21"/>
                      <w:szCs w:val="21"/>
                      <w:vertAlign w:val="subscript"/>
                    </w:rPr>
                    <w:t>10</w:t>
                  </w:r>
                </w:p>
              </w:tc>
              <w:tc>
                <w:tcPr>
                  <w:tcW w:w="1860" w:type="pct"/>
                  <w:tcBorders>
                    <w:tl2br w:val="nil"/>
                    <w:tr2bl w:val="nil"/>
                  </w:tcBorders>
                  <w:vAlign w:val="center"/>
                </w:tcPr>
                <w:p w14:paraId="1DFB7EE5">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年平均值</w:t>
                  </w:r>
                </w:p>
              </w:tc>
              <w:tc>
                <w:tcPr>
                  <w:tcW w:w="647" w:type="pct"/>
                  <w:tcBorders>
                    <w:tl2br w:val="nil"/>
                    <w:tr2bl w:val="nil"/>
                  </w:tcBorders>
                  <w:vAlign w:val="center"/>
                </w:tcPr>
                <w:p w14:paraId="7BF7C6A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62</w:t>
                  </w:r>
                </w:p>
              </w:tc>
              <w:tc>
                <w:tcPr>
                  <w:tcW w:w="647" w:type="pct"/>
                  <w:tcBorders>
                    <w:tl2br w:val="nil"/>
                    <w:tr2bl w:val="nil"/>
                  </w:tcBorders>
                  <w:vAlign w:val="center"/>
                </w:tcPr>
                <w:p w14:paraId="2B3CA91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70</w:t>
                  </w:r>
                </w:p>
              </w:tc>
              <w:tc>
                <w:tcPr>
                  <w:tcW w:w="647" w:type="pct"/>
                  <w:tcBorders>
                    <w:tl2br w:val="nil"/>
                    <w:tr2bl w:val="nil"/>
                  </w:tcBorders>
                  <w:vAlign w:val="center"/>
                </w:tcPr>
                <w:p w14:paraId="6AC4EF1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88.57</w:t>
                  </w:r>
                </w:p>
              </w:tc>
              <w:tc>
                <w:tcPr>
                  <w:tcW w:w="602" w:type="pct"/>
                  <w:tcBorders>
                    <w:tl2br w:val="nil"/>
                    <w:tr2bl w:val="nil"/>
                  </w:tcBorders>
                  <w:vAlign w:val="center"/>
                </w:tcPr>
                <w:p w14:paraId="04464088">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w:t>
                  </w:r>
                </w:p>
              </w:tc>
            </w:tr>
            <w:tr w14:paraId="1E5AF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94" w:type="pct"/>
                  <w:tcBorders>
                    <w:tl2br w:val="nil"/>
                    <w:tr2bl w:val="nil"/>
                  </w:tcBorders>
                  <w:vAlign w:val="center"/>
                </w:tcPr>
                <w:p w14:paraId="3CC34075">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PM</w:t>
                  </w:r>
                  <w:r>
                    <w:rPr>
                      <w:rFonts w:hint="eastAsia"/>
                      <w:color w:val="auto"/>
                      <w:spacing w:val="0"/>
                      <w:kern w:val="0"/>
                      <w:position w:val="0"/>
                      <w:sz w:val="21"/>
                      <w:szCs w:val="21"/>
                      <w:vertAlign w:val="subscript"/>
                    </w:rPr>
                    <w:t>2.5</w:t>
                  </w:r>
                </w:p>
              </w:tc>
              <w:tc>
                <w:tcPr>
                  <w:tcW w:w="1860" w:type="pct"/>
                  <w:tcBorders>
                    <w:tl2br w:val="nil"/>
                    <w:tr2bl w:val="nil"/>
                  </w:tcBorders>
                  <w:vAlign w:val="center"/>
                </w:tcPr>
                <w:p w14:paraId="3981A792">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年平均值</w:t>
                  </w:r>
                </w:p>
              </w:tc>
              <w:tc>
                <w:tcPr>
                  <w:tcW w:w="647" w:type="pct"/>
                  <w:tcBorders>
                    <w:tl2br w:val="nil"/>
                    <w:tr2bl w:val="nil"/>
                  </w:tcBorders>
                  <w:vAlign w:val="center"/>
                </w:tcPr>
                <w:p w14:paraId="671A818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32</w:t>
                  </w:r>
                </w:p>
              </w:tc>
              <w:tc>
                <w:tcPr>
                  <w:tcW w:w="647" w:type="pct"/>
                  <w:tcBorders>
                    <w:tl2br w:val="nil"/>
                    <w:tr2bl w:val="nil"/>
                  </w:tcBorders>
                  <w:vAlign w:val="center"/>
                </w:tcPr>
                <w:p w14:paraId="3F38EA6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35</w:t>
                  </w:r>
                </w:p>
              </w:tc>
              <w:tc>
                <w:tcPr>
                  <w:tcW w:w="647" w:type="pct"/>
                  <w:tcBorders>
                    <w:tl2br w:val="nil"/>
                    <w:tr2bl w:val="nil"/>
                  </w:tcBorders>
                  <w:vAlign w:val="center"/>
                </w:tcPr>
                <w:p w14:paraId="77647A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91.43</w:t>
                  </w:r>
                </w:p>
              </w:tc>
              <w:tc>
                <w:tcPr>
                  <w:tcW w:w="602" w:type="pct"/>
                  <w:tcBorders>
                    <w:tl2br w:val="nil"/>
                    <w:tr2bl w:val="nil"/>
                  </w:tcBorders>
                  <w:vAlign w:val="center"/>
                </w:tcPr>
                <w:p w14:paraId="0EDA1126">
                  <w:pPr>
                    <w:widowControl/>
                    <w:spacing w:line="240" w:lineRule="auto"/>
                    <w:ind w:firstLine="0" w:firstLineChars="0"/>
                    <w:jc w:val="center"/>
                    <w:rPr>
                      <w:rFonts w:hint="eastAsia" w:eastAsia="宋体"/>
                      <w:color w:val="auto"/>
                      <w:spacing w:val="0"/>
                      <w:kern w:val="0"/>
                      <w:position w:val="0"/>
                      <w:sz w:val="21"/>
                      <w:szCs w:val="21"/>
                      <w:lang w:eastAsia="zh-CN"/>
                    </w:rPr>
                  </w:pPr>
                  <w:r>
                    <w:rPr>
                      <w:rFonts w:hint="eastAsia"/>
                      <w:color w:val="auto"/>
                      <w:spacing w:val="0"/>
                      <w:kern w:val="0"/>
                      <w:position w:val="0"/>
                      <w:sz w:val="21"/>
                      <w:szCs w:val="21"/>
                    </w:rPr>
                    <w:t>达标</w:t>
                  </w:r>
                </w:p>
              </w:tc>
            </w:tr>
            <w:tr w14:paraId="37FBF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94" w:type="pct"/>
                  <w:tcBorders>
                    <w:tl2br w:val="nil"/>
                    <w:tr2bl w:val="nil"/>
                  </w:tcBorders>
                  <w:vAlign w:val="center"/>
                </w:tcPr>
                <w:p w14:paraId="59F18B3B">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CO</w:t>
                  </w:r>
                </w:p>
              </w:tc>
              <w:tc>
                <w:tcPr>
                  <w:tcW w:w="1860" w:type="pct"/>
                  <w:tcBorders>
                    <w:tl2br w:val="nil"/>
                    <w:tr2bl w:val="nil"/>
                  </w:tcBorders>
                  <w:vAlign w:val="center"/>
                </w:tcPr>
                <w:p w14:paraId="133EA044">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24小时平均第</w:t>
                  </w:r>
                  <w:r>
                    <w:rPr>
                      <w:rFonts w:hint="eastAsia"/>
                      <w:color w:val="auto"/>
                      <w:spacing w:val="0"/>
                      <w:kern w:val="0"/>
                      <w:position w:val="0"/>
                      <w:sz w:val="21"/>
                      <w:szCs w:val="21"/>
                      <w:lang w:val="en-US" w:eastAsia="zh-CN"/>
                    </w:rPr>
                    <w:t>9</w:t>
                  </w:r>
                  <w:r>
                    <w:rPr>
                      <w:rFonts w:hint="eastAsia"/>
                      <w:color w:val="auto"/>
                      <w:spacing w:val="0"/>
                      <w:kern w:val="0"/>
                      <w:position w:val="0"/>
                      <w:sz w:val="21"/>
                      <w:szCs w:val="21"/>
                    </w:rPr>
                    <w:t>5百分位数</w:t>
                  </w:r>
                </w:p>
              </w:tc>
              <w:tc>
                <w:tcPr>
                  <w:tcW w:w="647" w:type="pct"/>
                  <w:tcBorders>
                    <w:tl2br w:val="nil"/>
                    <w:tr2bl w:val="nil"/>
                  </w:tcBorders>
                  <w:vAlign w:val="center"/>
                </w:tcPr>
                <w:p w14:paraId="16B24E4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1.2</w:t>
                  </w:r>
                </w:p>
              </w:tc>
              <w:tc>
                <w:tcPr>
                  <w:tcW w:w="647" w:type="pct"/>
                  <w:tcBorders>
                    <w:tl2br w:val="nil"/>
                    <w:tr2bl w:val="nil"/>
                  </w:tcBorders>
                  <w:vAlign w:val="center"/>
                </w:tcPr>
                <w:p w14:paraId="0D87900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4</w:t>
                  </w:r>
                </w:p>
              </w:tc>
              <w:tc>
                <w:tcPr>
                  <w:tcW w:w="647" w:type="pct"/>
                  <w:tcBorders>
                    <w:tl2br w:val="nil"/>
                    <w:tr2bl w:val="nil"/>
                  </w:tcBorders>
                  <w:vAlign w:val="center"/>
                </w:tcPr>
                <w:p w14:paraId="7EBCC38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30</w:t>
                  </w:r>
                </w:p>
              </w:tc>
              <w:tc>
                <w:tcPr>
                  <w:tcW w:w="602" w:type="pct"/>
                  <w:tcBorders>
                    <w:tl2br w:val="nil"/>
                    <w:tr2bl w:val="nil"/>
                  </w:tcBorders>
                  <w:vAlign w:val="center"/>
                </w:tcPr>
                <w:p w14:paraId="0C143236">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w:t>
                  </w:r>
                </w:p>
              </w:tc>
            </w:tr>
            <w:tr w14:paraId="271D8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 w:hRule="atLeast"/>
              </w:trPr>
              <w:tc>
                <w:tcPr>
                  <w:tcW w:w="594" w:type="pct"/>
                  <w:tcBorders>
                    <w:tl2br w:val="nil"/>
                    <w:tr2bl w:val="nil"/>
                  </w:tcBorders>
                  <w:vAlign w:val="center"/>
                </w:tcPr>
                <w:p w14:paraId="686270AF">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O</w:t>
                  </w:r>
                  <w:r>
                    <w:rPr>
                      <w:rFonts w:hint="eastAsia"/>
                      <w:color w:val="auto"/>
                      <w:spacing w:val="0"/>
                      <w:kern w:val="0"/>
                      <w:position w:val="0"/>
                      <w:sz w:val="21"/>
                      <w:szCs w:val="21"/>
                      <w:vertAlign w:val="subscript"/>
                    </w:rPr>
                    <w:t>3</w:t>
                  </w:r>
                </w:p>
              </w:tc>
              <w:tc>
                <w:tcPr>
                  <w:tcW w:w="1860" w:type="pct"/>
                  <w:tcBorders>
                    <w:tl2br w:val="nil"/>
                    <w:tr2bl w:val="nil"/>
                  </w:tcBorders>
                  <w:vAlign w:val="center"/>
                </w:tcPr>
                <w:p w14:paraId="64327775">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最大8小时平均第90百分位</w:t>
                  </w:r>
                </w:p>
              </w:tc>
              <w:tc>
                <w:tcPr>
                  <w:tcW w:w="647" w:type="pct"/>
                  <w:tcBorders>
                    <w:tl2br w:val="nil"/>
                    <w:tr2bl w:val="nil"/>
                  </w:tcBorders>
                  <w:vAlign w:val="center"/>
                </w:tcPr>
                <w:p w14:paraId="06FE89D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128</w:t>
                  </w:r>
                </w:p>
              </w:tc>
              <w:tc>
                <w:tcPr>
                  <w:tcW w:w="647" w:type="pct"/>
                  <w:tcBorders>
                    <w:tl2br w:val="nil"/>
                    <w:tr2bl w:val="nil"/>
                  </w:tcBorders>
                  <w:vAlign w:val="center"/>
                </w:tcPr>
                <w:p w14:paraId="4D3B00C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color w:val="auto"/>
                      <w:spacing w:val="0"/>
                      <w:kern w:val="0"/>
                      <w:position w:val="0"/>
                      <w:sz w:val="21"/>
                      <w:szCs w:val="21"/>
                    </w:rPr>
                  </w:pPr>
                  <w:r>
                    <w:rPr>
                      <w:rFonts w:hint="eastAsia"/>
                      <w:color w:val="auto"/>
                      <w:sz w:val="21"/>
                      <w:szCs w:val="21"/>
                    </w:rPr>
                    <w:t>160</w:t>
                  </w:r>
                </w:p>
              </w:tc>
              <w:tc>
                <w:tcPr>
                  <w:tcW w:w="647" w:type="pct"/>
                  <w:tcBorders>
                    <w:tl2br w:val="nil"/>
                    <w:tr2bl w:val="nil"/>
                  </w:tcBorders>
                  <w:vAlign w:val="center"/>
                </w:tcPr>
                <w:p w14:paraId="0986179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baseline"/>
                    <w:rPr>
                      <w:rFonts w:hint="default" w:eastAsia="宋体"/>
                      <w:color w:val="auto"/>
                      <w:spacing w:val="0"/>
                      <w:kern w:val="0"/>
                      <w:position w:val="0"/>
                      <w:sz w:val="21"/>
                      <w:szCs w:val="21"/>
                      <w:lang w:val="en-US" w:eastAsia="zh-CN"/>
                    </w:rPr>
                  </w:pPr>
                  <w:r>
                    <w:rPr>
                      <w:rFonts w:hint="eastAsia"/>
                      <w:color w:val="auto"/>
                      <w:sz w:val="21"/>
                      <w:szCs w:val="21"/>
                      <w:lang w:val="en-US" w:eastAsia="zh-CN"/>
                    </w:rPr>
                    <w:t>80</w:t>
                  </w:r>
                </w:p>
              </w:tc>
              <w:tc>
                <w:tcPr>
                  <w:tcW w:w="602" w:type="pct"/>
                  <w:tcBorders>
                    <w:tl2br w:val="nil"/>
                    <w:tr2bl w:val="nil"/>
                  </w:tcBorders>
                  <w:vAlign w:val="center"/>
                </w:tcPr>
                <w:p w14:paraId="629105C3">
                  <w:pPr>
                    <w:widowControl/>
                    <w:spacing w:line="240" w:lineRule="auto"/>
                    <w:ind w:firstLine="0" w:firstLineChars="0"/>
                    <w:jc w:val="center"/>
                    <w:rPr>
                      <w:color w:val="auto"/>
                      <w:spacing w:val="0"/>
                      <w:kern w:val="0"/>
                      <w:position w:val="0"/>
                      <w:sz w:val="21"/>
                      <w:szCs w:val="21"/>
                    </w:rPr>
                  </w:pPr>
                  <w:r>
                    <w:rPr>
                      <w:rFonts w:hint="eastAsia"/>
                      <w:color w:val="auto"/>
                      <w:spacing w:val="0"/>
                      <w:kern w:val="0"/>
                      <w:position w:val="0"/>
                      <w:sz w:val="21"/>
                      <w:szCs w:val="21"/>
                    </w:rPr>
                    <w:t>达标</w:t>
                  </w:r>
                </w:p>
              </w:tc>
            </w:tr>
            <w:tr w14:paraId="0979C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 w:hRule="atLeast"/>
              </w:trPr>
              <w:tc>
                <w:tcPr>
                  <w:tcW w:w="594" w:type="pct"/>
                  <w:tcBorders>
                    <w:tl2br w:val="nil"/>
                    <w:tr2bl w:val="nil"/>
                  </w:tcBorders>
                  <w:vAlign w:val="center"/>
                </w:tcPr>
                <w:p w14:paraId="4FF28327">
                  <w:pPr>
                    <w:widowControl/>
                    <w:spacing w:line="240" w:lineRule="auto"/>
                    <w:ind w:firstLine="0" w:firstLineChars="0"/>
                    <w:jc w:val="center"/>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非甲烷总烃</w:t>
                  </w:r>
                </w:p>
              </w:tc>
              <w:tc>
                <w:tcPr>
                  <w:tcW w:w="1860" w:type="pct"/>
                  <w:tcBorders>
                    <w:tl2br w:val="nil"/>
                    <w:tr2bl w:val="nil"/>
                  </w:tcBorders>
                  <w:vAlign w:val="center"/>
                </w:tcPr>
                <w:p w14:paraId="0FE23A7F">
                  <w:pPr>
                    <w:widowControl/>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每日四次，连续三日平均值</w:t>
                  </w:r>
                </w:p>
              </w:tc>
              <w:tc>
                <w:tcPr>
                  <w:tcW w:w="647" w:type="pct"/>
                  <w:tcBorders>
                    <w:tl2br w:val="nil"/>
                    <w:tr2bl w:val="nil"/>
                  </w:tcBorders>
                  <w:vAlign w:val="center"/>
                </w:tcPr>
                <w:p w14:paraId="6458CA95">
                  <w:pPr>
                    <w:widowControl/>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597.5</w:t>
                  </w:r>
                </w:p>
              </w:tc>
              <w:tc>
                <w:tcPr>
                  <w:tcW w:w="647" w:type="pct"/>
                  <w:tcBorders>
                    <w:tl2br w:val="nil"/>
                    <w:tr2bl w:val="nil"/>
                  </w:tcBorders>
                  <w:vAlign w:val="center"/>
                </w:tcPr>
                <w:p w14:paraId="6D4EAE7C">
                  <w:pPr>
                    <w:widowControl/>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2000</w:t>
                  </w:r>
                </w:p>
              </w:tc>
              <w:tc>
                <w:tcPr>
                  <w:tcW w:w="647" w:type="pct"/>
                  <w:tcBorders>
                    <w:tl2br w:val="nil"/>
                    <w:tr2bl w:val="nil"/>
                  </w:tcBorders>
                  <w:vAlign w:val="center"/>
                </w:tcPr>
                <w:p w14:paraId="78FB6C58">
                  <w:pPr>
                    <w:widowControl/>
                    <w:spacing w:line="240" w:lineRule="auto"/>
                    <w:ind w:firstLine="0" w:firstLineChars="0"/>
                    <w:jc w:val="center"/>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29.87</w:t>
                  </w:r>
                </w:p>
              </w:tc>
              <w:tc>
                <w:tcPr>
                  <w:tcW w:w="602" w:type="pct"/>
                  <w:tcBorders>
                    <w:tl2br w:val="nil"/>
                    <w:tr2bl w:val="nil"/>
                  </w:tcBorders>
                  <w:vAlign w:val="center"/>
                </w:tcPr>
                <w:p w14:paraId="4591B371">
                  <w:pPr>
                    <w:widowControl/>
                    <w:spacing w:line="240" w:lineRule="auto"/>
                    <w:ind w:firstLine="0" w:firstLineChars="0"/>
                    <w:jc w:val="center"/>
                    <w:rPr>
                      <w:rFonts w:hint="eastAsia"/>
                      <w:color w:val="auto"/>
                      <w:spacing w:val="0"/>
                      <w:kern w:val="0"/>
                      <w:position w:val="0"/>
                      <w:sz w:val="21"/>
                      <w:szCs w:val="21"/>
                    </w:rPr>
                  </w:pPr>
                  <w:r>
                    <w:rPr>
                      <w:rFonts w:hint="eastAsia"/>
                      <w:color w:val="auto"/>
                      <w:spacing w:val="0"/>
                      <w:kern w:val="0"/>
                      <w:position w:val="0"/>
                      <w:sz w:val="21"/>
                      <w:szCs w:val="21"/>
                    </w:rPr>
                    <w:t>达标</w:t>
                  </w:r>
                </w:p>
              </w:tc>
            </w:tr>
          </w:tbl>
          <w:p w14:paraId="2C6F725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textAlignment w:val="auto"/>
              <w:rPr>
                <w:rFonts w:hint="eastAsia" w:ascii="Times New Roman" w:hAnsi="Times New Roman" w:eastAsia="宋体" w:cs="Times New Roman"/>
                <w:color w:val="auto"/>
                <w:spacing w:val="0"/>
                <w:position w:val="0"/>
                <w:sz w:val="21"/>
                <w:szCs w:val="21"/>
              </w:rPr>
            </w:pPr>
            <w:r>
              <w:rPr>
                <w:color w:val="auto"/>
                <w:spacing w:val="0"/>
                <w:position w:val="0"/>
                <w:sz w:val="21"/>
                <w:szCs w:val="21"/>
              </w:rPr>
              <w:t>从上表的分析结果可知，区域SO</w:t>
            </w:r>
            <w:r>
              <w:rPr>
                <w:color w:val="auto"/>
                <w:spacing w:val="0"/>
                <w:position w:val="0"/>
                <w:sz w:val="21"/>
                <w:szCs w:val="21"/>
                <w:vertAlign w:val="subscript"/>
              </w:rPr>
              <w:t>2</w:t>
            </w:r>
            <w:r>
              <w:rPr>
                <w:color w:val="auto"/>
                <w:spacing w:val="0"/>
                <w:position w:val="0"/>
                <w:sz w:val="21"/>
                <w:szCs w:val="21"/>
              </w:rPr>
              <w:t>、NO</w:t>
            </w:r>
            <w:r>
              <w:rPr>
                <w:color w:val="auto"/>
                <w:spacing w:val="0"/>
                <w:position w:val="0"/>
                <w:sz w:val="21"/>
                <w:szCs w:val="21"/>
                <w:vertAlign w:val="subscript"/>
              </w:rPr>
              <w:t>2</w:t>
            </w:r>
            <w:r>
              <w:rPr>
                <w:color w:val="auto"/>
                <w:spacing w:val="0"/>
                <w:position w:val="0"/>
                <w:sz w:val="21"/>
                <w:szCs w:val="21"/>
              </w:rPr>
              <w:t>、PM</w:t>
            </w:r>
            <w:r>
              <w:rPr>
                <w:color w:val="auto"/>
                <w:spacing w:val="0"/>
                <w:position w:val="0"/>
                <w:sz w:val="21"/>
                <w:szCs w:val="21"/>
                <w:vertAlign w:val="subscript"/>
              </w:rPr>
              <w:t>2.5</w:t>
            </w:r>
            <w:r>
              <w:rPr>
                <w:color w:val="auto"/>
                <w:spacing w:val="0"/>
                <w:position w:val="0"/>
                <w:sz w:val="21"/>
                <w:szCs w:val="21"/>
              </w:rPr>
              <w:t>、PM</w:t>
            </w:r>
            <w:r>
              <w:rPr>
                <w:color w:val="auto"/>
                <w:spacing w:val="0"/>
                <w:position w:val="0"/>
                <w:sz w:val="21"/>
                <w:szCs w:val="21"/>
                <w:vertAlign w:val="subscript"/>
              </w:rPr>
              <w:t>10</w:t>
            </w:r>
            <w:r>
              <w:rPr>
                <w:color w:val="auto"/>
                <w:spacing w:val="0"/>
                <w:position w:val="0"/>
                <w:sz w:val="21"/>
                <w:szCs w:val="21"/>
              </w:rPr>
              <w:t>年平均、CO日平均及O</w:t>
            </w:r>
            <w:r>
              <w:rPr>
                <w:color w:val="auto"/>
                <w:spacing w:val="0"/>
                <w:position w:val="0"/>
                <w:sz w:val="21"/>
                <w:szCs w:val="21"/>
                <w:vertAlign w:val="subscript"/>
              </w:rPr>
              <w:t>3</w:t>
            </w:r>
            <w:r>
              <w:rPr>
                <w:color w:val="auto"/>
                <w:spacing w:val="0"/>
                <w:position w:val="0"/>
                <w:sz w:val="21"/>
                <w:szCs w:val="21"/>
              </w:rPr>
              <w:t>日最大8小时平均浓度均满足《环境空气质量标准》（GB3095—2012）二级标准及修改单要求</w:t>
            </w:r>
            <w:r>
              <w:rPr>
                <w:rFonts w:hint="eastAsia"/>
                <w:color w:val="auto"/>
                <w:spacing w:val="0"/>
                <w:position w:val="0"/>
                <w:sz w:val="21"/>
                <w:szCs w:val="21"/>
                <w:lang w:eastAsia="zh-CN"/>
              </w:rPr>
              <w:t>，</w:t>
            </w:r>
            <w:r>
              <w:rPr>
                <w:rFonts w:hint="eastAsia"/>
                <w:color w:val="auto"/>
                <w:spacing w:val="0"/>
                <w:position w:val="0"/>
                <w:sz w:val="21"/>
                <w:szCs w:val="21"/>
              </w:rPr>
              <w:t>属于达标区</w:t>
            </w:r>
            <w:r>
              <w:rPr>
                <w:rFonts w:hint="eastAsia"/>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本项目补测特征因子</w:t>
            </w:r>
            <w:r>
              <w:rPr>
                <w:rFonts w:hint="eastAsia" w:ascii="Times New Roman" w:hAnsi="Times New Roman" w:eastAsia="宋体" w:cs="Times New Roman"/>
                <w:color w:val="auto"/>
                <w:spacing w:val="0"/>
                <w:position w:val="0"/>
                <w:sz w:val="21"/>
                <w:szCs w:val="21"/>
                <w:lang w:val="en-US" w:eastAsia="zh-CN"/>
              </w:rPr>
              <w:t>非甲烷总烃</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监测点位于项目区下风向处</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监测时段为2024年</w:t>
            </w:r>
            <w:r>
              <w:rPr>
                <w:rFonts w:hint="eastAsia" w:ascii="Times New Roman" w:hAnsi="Times New Roman" w:eastAsia="宋体" w:cs="Times New Roman"/>
                <w:color w:val="auto"/>
                <w:spacing w:val="0"/>
                <w:position w:val="0"/>
                <w:sz w:val="21"/>
                <w:szCs w:val="21"/>
                <w:lang w:val="en-US" w:eastAsia="zh-CN"/>
              </w:rPr>
              <w:t>12</w:t>
            </w:r>
            <w:r>
              <w:rPr>
                <w:rFonts w:hint="eastAsia" w:ascii="Times New Roman" w:hAnsi="Times New Roman" w:eastAsia="宋体" w:cs="Times New Roman"/>
                <w:color w:val="auto"/>
                <w:spacing w:val="0"/>
                <w:position w:val="0"/>
                <w:sz w:val="21"/>
                <w:szCs w:val="21"/>
              </w:rPr>
              <w:t>月</w:t>
            </w:r>
            <w:r>
              <w:rPr>
                <w:rFonts w:hint="eastAsia" w:ascii="Times New Roman" w:hAnsi="Times New Roman" w:eastAsia="宋体" w:cs="Times New Roman"/>
                <w:color w:val="auto"/>
                <w:spacing w:val="0"/>
                <w:position w:val="0"/>
                <w:sz w:val="21"/>
                <w:szCs w:val="21"/>
                <w:lang w:val="en-US" w:eastAsia="zh-CN"/>
              </w:rPr>
              <w:t>14</w:t>
            </w:r>
            <w:r>
              <w:rPr>
                <w:rFonts w:hint="eastAsia" w:ascii="Times New Roman" w:hAnsi="Times New Roman" w:eastAsia="宋体" w:cs="Times New Roman"/>
                <w:color w:val="auto"/>
                <w:spacing w:val="0"/>
                <w:position w:val="0"/>
                <w:sz w:val="21"/>
                <w:szCs w:val="21"/>
              </w:rPr>
              <w:t>日～</w:t>
            </w:r>
            <w:r>
              <w:rPr>
                <w:rFonts w:hint="eastAsia" w:ascii="Times New Roman" w:hAnsi="Times New Roman" w:eastAsia="宋体" w:cs="Times New Roman"/>
                <w:color w:val="auto"/>
                <w:spacing w:val="0"/>
                <w:position w:val="0"/>
                <w:sz w:val="21"/>
                <w:szCs w:val="21"/>
                <w:lang w:val="en-US" w:eastAsia="zh-CN"/>
              </w:rPr>
              <w:t>12</w:t>
            </w:r>
            <w:r>
              <w:rPr>
                <w:rFonts w:hint="eastAsia" w:ascii="Times New Roman" w:hAnsi="Times New Roman" w:eastAsia="宋体" w:cs="Times New Roman"/>
                <w:color w:val="auto"/>
                <w:spacing w:val="0"/>
                <w:position w:val="0"/>
                <w:sz w:val="21"/>
                <w:szCs w:val="21"/>
              </w:rPr>
              <w:t>月</w:t>
            </w:r>
            <w:r>
              <w:rPr>
                <w:rFonts w:hint="eastAsia" w:ascii="Times New Roman" w:hAnsi="Times New Roman" w:eastAsia="宋体" w:cs="Times New Roman"/>
                <w:color w:val="auto"/>
                <w:spacing w:val="0"/>
                <w:position w:val="0"/>
                <w:sz w:val="21"/>
                <w:szCs w:val="21"/>
                <w:lang w:val="en-US" w:eastAsia="zh-CN"/>
              </w:rPr>
              <w:t>16</w:t>
            </w:r>
            <w:r>
              <w:rPr>
                <w:rFonts w:hint="eastAsia" w:ascii="Times New Roman" w:hAnsi="Times New Roman" w:eastAsia="宋体" w:cs="Times New Roman"/>
                <w:color w:val="auto"/>
                <w:spacing w:val="0"/>
                <w:position w:val="0"/>
                <w:sz w:val="21"/>
                <w:szCs w:val="21"/>
              </w:rPr>
              <w:t>日</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监测点</w:t>
            </w:r>
            <w:r>
              <w:rPr>
                <w:rFonts w:hint="eastAsia" w:ascii="Times New Roman" w:hAnsi="Times New Roman" w:eastAsia="宋体" w:cs="Times New Roman"/>
                <w:color w:val="auto"/>
                <w:spacing w:val="0"/>
                <w:position w:val="0"/>
                <w:sz w:val="21"/>
                <w:szCs w:val="21"/>
                <w:lang w:val="en-US" w:eastAsia="zh-CN"/>
              </w:rPr>
              <w:t>非甲烷总烃</w:t>
            </w:r>
            <w:r>
              <w:rPr>
                <w:rFonts w:hint="eastAsia" w:ascii="Times New Roman" w:hAnsi="Times New Roman" w:eastAsia="宋体" w:cs="Times New Roman"/>
                <w:color w:val="auto"/>
                <w:spacing w:val="0"/>
                <w:position w:val="0"/>
                <w:sz w:val="21"/>
                <w:szCs w:val="21"/>
              </w:rPr>
              <w:t>监测最大小时浓度值为</w:t>
            </w:r>
            <w:r>
              <w:rPr>
                <w:rFonts w:hint="eastAsia" w:ascii="Times New Roman" w:hAnsi="Times New Roman" w:eastAsia="宋体" w:cs="Times New Roman"/>
                <w:color w:val="auto"/>
                <w:spacing w:val="0"/>
                <w:position w:val="0"/>
                <w:sz w:val="21"/>
                <w:szCs w:val="21"/>
                <w:lang w:val="en-US" w:eastAsia="zh-CN"/>
              </w:rPr>
              <w:t>0.64</w:t>
            </w:r>
            <w:r>
              <w:rPr>
                <w:rFonts w:hint="eastAsia" w:ascii="Times New Roman" w:hAnsi="Times New Roman" w:eastAsia="宋体" w:cs="Times New Roman"/>
                <w:color w:val="auto"/>
                <w:spacing w:val="0"/>
                <w:position w:val="0"/>
                <w:sz w:val="21"/>
                <w:szCs w:val="21"/>
              </w:rPr>
              <w:t>mg/m</w:t>
            </w:r>
            <w:r>
              <w:rPr>
                <w:rFonts w:hint="eastAsia" w:ascii="Times New Roman" w:hAnsi="Times New Roman" w:eastAsia="宋体" w:cs="Times New Roman"/>
                <w:color w:val="auto"/>
                <w:spacing w:val="0"/>
                <w:position w:val="0"/>
                <w:sz w:val="21"/>
                <w:szCs w:val="21"/>
                <w:vertAlign w:val="superscript"/>
              </w:rPr>
              <w:t>3</w:t>
            </w:r>
            <w:r>
              <w:rPr>
                <w:rFonts w:hint="eastAsia" w:ascii="Times New Roman" w:hAnsi="Times New Roman" w:eastAsia="宋体" w:cs="Times New Roman"/>
                <w:color w:val="auto"/>
                <w:spacing w:val="0"/>
                <w:position w:val="0"/>
                <w:sz w:val="21"/>
                <w:szCs w:val="21"/>
              </w:rPr>
              <w:t>。</w:t>
            </w:r>
            <w:r>
              <w:rPr>
                <w:rFonts w:hint="eastAsia" w:ascii="Times New Roman" w:hAnsi="Times New Roman" w:eastAsia="宋体" w:cs="Times New Roman"/>
                <w:color w:val="auto"/>
                <w:spacing w:val="0"/>
                <w:position w:val="0"/>
                <w:sz w:val="21"/>
                <w:szCs w:val="21"/>
                <w:lang w:val="en-US" w:eastAsia="zh-CN"/>
              </w:rPr>
              <w:t>补测非甲烷总烃浓度值</w:t>
            </w:r>
            <w:r>
              <w:rPr>
                <w:rFonts w:hint="eastAsia" w:ascii="Times New Roman" w:hAnsi="Times New Roman" w:eastAsia="宋体" w:cs="Times New Roman"/>
                <w:color w:val="auto"/>
                <w:spacing w:val="0"/>
                <w:position w:val="0"/>
                <w:sz w:val="21"/>
                <w:szCs w:val="21"/>
              </w:rPr>
              <w:t>符合</w:t>
            </w:r>
            <w:r>
              <w:rPr>
                <w:rFonts w:hint="default" w:ascii="Times New Roman" w:hAnsi="Times New Roman" w:eastAsia="宋体" w:cs="Times New Roman"/>
                <w:color w:val="auto"/>
                <w:spacing w:val="0"/>
                <w:position w:val="0"/>
                <w:sz w:val="21"/>
                <w:szCs w:val="21"/>
                <w:lang w:eastAsia="zh-CN"/>
              </w:rPr>
              <w:t>《大气污染物综合排放标准详解》中</w:t>
            </w:r>
            <w:r>
              <w:rPr>
                <w:rFonts w:hint="default" w:ascii="Times New Roman" w:hAnsi="Times New Roman" w:eastAsia="宋体" w:cs="Times New Roman"/>
                <w:color w:val="auto"/>
                <w:spacing w:val="0"/>
                <w:position w:val="0"/>
                <w:sz w:val="21"/>
                <w:szCs w:val="21"/>
                <w:lang w:val="zh-CN" w:eastAsia="zh-CN"/>
              </w:rPr>
              <w:t>限值要求</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属于达标区。</w:t>
            </w:r>
          </w:p>
          <w:p w14:paraId="0350CB7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b/>
                <w:color w:val="auto"/>
                <w:spacing w:val="0"/>
                <w:kern w:val="0"/>
                <w:position w:val="0"/>
                <w:sz w:val="21"/>
                <w:szCs w:val="21"/>
                <w:lang w:val="en-US" w:eastAsia="zh-CN"/>
              </w:rPr>
            </w:pPr>
            <w:r>
              <w:rPr>
                <w:rFonts w:hint="eastAsia" w:ascii="Times New Roman" w:hAnsi="Times New Roman" w:eastAsia="宋体" w:cs="Times New Roman"/>
                <w:b/>
                <w:color w:val="auto"/>
                <w:spacing w:val="0"/>
                <w:kern w:val="0"/>
                <w:position w:val="0"/>
                <w:sz w:val="21"/>
                <w:szCs w:val="21"/>
                <w:lang w:val="en-US" w:eastAsia="zh-CN" w:bidi="ar-SA"/>
              </w:rPr>
              <w:t>2</w:t>
            </w:r>
            <w:r>
              <w:rPr>
                <w:rFonts w:hint="eastAsia"/>
                <w:b/>
                <w:color w:val="auto"/>
                <w:spacing w:val="0"/>
                <w:kern w:val="0"/>
                <w:position w:val="0"/>
                <w:sz w:val="21"/>
                <w:szCs w:val="21"/>
                <w:lang w:val="en-US" w:eastAsia="zh-CN"/>
              </w:rPr>
              <w:t>地表水</w:t>
            </w:r>
          </w:p>
          <w:p w14:paraId="02E96E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pacing w:val="0"/>
                <w:kern w:val="0"/>
                <w:position w:val="0"/>
                <w:sz w:val="21"/>
                <w:szCs w:val="21"/>
                <w:lang w:val="en-US" w:eastAsia="zh-CN" w:bidi="ar-SA"/>
              </w:rPr>
            </w:pPr>
            <w:r>
              <w:rPr>
                <w:rFonts w:hint="eastAsia" w:ascii="Times New Roman" w:hAnsi="Times New Roman" w:eastAsia="宋体" w:cs="Times New Roman"/>
                <w:color w:val="auto"/>
                <w:spacing w:val="0"/>
                <w:kern w:val="0"/>
                <w:position w:val="0"/>
                <w:sz w:val="21"/>
                <w:szCs w:val="21"/>
                <w:lang w:val="en-US" w:eastAsia="zh-CN" w:bidi="ar-SA"/>
              </w:rPr>
              <w:t>项目所在区域无天然地表水体，且本项目产生的废水不排入地表水体，与地表水体无水力联系。根据《环境影响评价技术导则 地表水环境》（HJ2.2-2018）水污染影响型三级B评价，可不开展地表水评价。</w:t>
            </w:r>
          </w:p>
          <w:p w14:paraId="301F21F1">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color w:val="auto"/>
                <w:spacing w:val="0"/>
                <w:kern w:val="0"/>
                <w:position w:val="0"/>
                <w:sz w:val="21"/>
                <w:szCs w:val="21"/>
              </w:rPr>
            </w:pPr>
            <w:r>
              <w:rPr>
                <w:rFonts w:hint="eastAsia"/>
                <w:b/>
                <w:color w:val="auto"/>
                <w:spacing w:val="0"/>
                <w:kern w:val="0"/>
                <w:position w:val="0"/>
                <w:sz w:val="21"/>
                <w:szCs w:val="21"/>
                <w:lang w:val="en-US" w:eastAsia="zh-CN"/>
              </w:rPr>
              <w:t>3</w:t>
            </w:r>
            <w:r>
              <w:rPr>
                <w:rFonts w:hint="eastAsia"/>
                <w:b/>
                <w:color w:val="auto"/>
                <w:spacing w:val="0"/>
                <w:kern w:val="0"/>
                <w:position w:val="0"/>
                <w:sz w:val="21"/>
                <w:szCs w:val="21"/>
              </w:rPr>
              <w:t>地下水、土壤环境质量现状</w:t>
            </w:r>
          </w:p>
          <w:p w14:paraId="17D02532">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Times New Roman" w:hAnsi="Times New Roman"/>
                <w:color w:val="auto"/>
                <w:spacing w:val="0"/>
                <w:position w:val="0"/>
                <w:sz w:val="21"/>
                <w:szCs w:val="21"/>
              </w:rPr>
            </w:pPr>
            <w:r>
              <w:rPr>
                <w:rFonts w:hint="eastAsia" w:ascii="Times New Roman" w:hAnsi="Times New Roman"/>
                <w:color w:val="auto"/>
                <w:spacing w:val="0"/>
                <w:position w:val="0"/>
                <w:sz w:val="21"/>
                <w:szCs w:val="21"/>
              </w:rPr>
              <w:t>根据《建设项目环境影响报告表编制技术指南》（污染影响类）（试行）规定，地下水、土壤环境原则上不开展环境质量现状调查</w:t>
            </w:r>
            <w:r>
              <w:rPr>
                <w:rFonts w:hint="eastAsia"/>
                <w:color w:val="auto"/>
                <w:spacing w:val="0"/>
                <w:position w:val="0"/>
                <w:sz w:val="21"/>
                <w:szCs w:val="21"/>
                <w:lang w:eastAsia="zh-CN"/>
              </w:rPr>
              <w:t>，</w:t>
            </w:r>
            <w:r>
              <w:rPr>
                <w:rFonts w:hint="eastAsia" w:ascii="Times New Roman" w:hAnsi="Times New Roman"/>
                <w:color w:val="auto"/>
                <w:spacing w:val="0"/>
                <w:position w:val="0"/>
                <w:sz w:val="21"/>
                <w:szCs w:val="21"/>
              </w:rPr>
              <w:t>建设项目</w:t>
            </w:r>
            <w:r>
              <w:rPr>
                <w:rFonts w:hint="eastAsia"/>
                <w:color w:val="auto"/>
                <w:spacing w:val="0"/>
                <w:position w:val="0"/>
                <w:sz w:val="21"/>
                <w:szCs w:val="21"/>
                <w:lang w:val="en-US" w:eastAsia="zh-CN"/>
              </w:rPr>
              <w:t>拟建危险废物暂存间</w:t>
            </w:r>
            <w:r>
              <w:rPr>
                <w:rFonts w:hint="default"/>
                <w:color w:val="auto"/>
                <w:spacing w:val="0"/>
                <w:position w:val="0"/>
                <w:sz w:val="21"/>
                <w:szCs w:val="21"/>
                <w:lang w:val="en-US" w:eastAsia="zh-CN"/>
              </w:rPr>
              <w:t>设计严格按照《危险废物贮存污染控制标准》（GB18597-2023）中相关要求：</w:t>
            </w:r>
            <w:r>
              <w:rPr>
                <w:rFonts w:hint="eastAsia" w:cs="Times New Roman"/>
                <w:color w:val="auto"/>
                <w:spacing w:val="0"/>
                <w:position w:val="0"/>
                <w:sz w:val="21"/>
                <w:szCs w:val="21"/>
                <w:lang w:val="en-US" w:eastAsia="zh-CN"/>
              </w:rPr>
              <w:t>①</w:t>
            </w:r>
            <w:r>
              <w:rPr>
                <w:rFonts w:hint="default" w:ascii="Times New Roman" w:hAnsi="Times New Roman" w:eastAsia="宋体" w:cs="Times New Roman"/>
                <w:color w:val="auto"/>
                <w:spacing w:val="0"/>
                <w:position w:val="0"/>
                <w:sz w:val="21"/>
                <w:szCs w:val="21"/>
                <w:lang w:val="en-US" w:eastAsia="zh-CN"/>
              </w:rPr>
              <w:t>防渗措施应满足：基础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pacing w:val="0"/>
                <w:position w:val="0"/>
                <w:sz w:val="21"/>
                <w:szCs w:val="21"/>
                <w:vertAlign w:val="superscript"/>
                <w:lang w:val="en-US" w:eastAsia="zh-CN"/>
              </w:rPr>
              <w:t>-7</w:t>
            </w:r>
            <w:r>
              <w:rPr>
                <w:rFonts w:hint="default" w:ascii="Times New Roman" w:hAnsi="Times New Roman" w:eastAsia="宋体" w:cs="Times New Roman"/>
                <w:color w:val="auto"/>
                <w:spacing w:val="0"/>
                <w:position w:val="0"/>
                <w:sz w:val="21"/>
                <w:szCs w:val="21"/>
                <w:lang w:val="en-US" w:eastAsia="zh-CN"/>
              </w:rPr>
              <w:t>cm/s），或至少2mm厚高密度聚乙烯膜等人工防渗材料（渗透系数不大于10</w:t>
            </w:r>
            <w:r>
              <w:rPr>
                <w:rFonts w:hint="default" w:ascii="Times New Roman" w:hAnsi="Times New Roman" w:eastAsia="宋体" w:cs="Times New Roman"/>
                <w:color w:val="auto"/>
                <w:spacing w:val="0"/>
                <w:position w:val="0"/>
                <w:sz w:val="21"/>
                <w:szCs w:val="21"/>
                <w:vertAlign w:val="superscript"/>
                <w:lang w:val="en-US" w:eastAsia="zh-CN"/>
              </w:rPr>
              <w:t>-10</w:t>
            </w:r>
            <w:r>
              <w:rPr>
                <w:rFonts w:hint="default" w:ascii="Times New Roman" w:hAnsi="Times New Roman" w:eastAsia="宋体" w:cs="Times New Roman"/>
                <w:color w:val="auto"/>
                <w:spacing w:val="0"/>
                <w:position w:val="0"/>
                <w:sz w:val="21"/>
                <w:szCs w:val="21"/>
                <w:lang w:val="en-US" w:eastAsia="zh-CN"/>
              </w:rPr>
              <w:t>cm/s），或其他防渗性能等效的材料。</w:t>
            </w:r>
            <w:r>
              <w:rPr>
                <w:rFonts w:hint="eastAsia" w:cs="Times New Roman"/>
                <w:color w:val="auto"/>
                <w:spacing w:val="0"/>
                <w:position w:val="0"/>
                <w:sz w:val="21"/>
                <w:szCs w:val="21"/>
                <w:lang w:val="en-US" w:eastAsia="zh-CN"/>
              </w:rPr>
              <w:t>②</w:t>
            </w:r>
            <w:r>
              <w:rPr>
                <w:rFonts w:hint="default" w:ascii="Times New Roman" w:hAnsi="Times New Roman" w:eastAsia="宋体" w:cs="Times New Roman"/>
                <w:color w:val="auto"/>
                <w:spacing w:val="0"/>
                <w:position w:val="0"/>
                <w:sz w:val="21"/>
                <w:szCs w:val="21"/>
                <w:lang w:val="en-US" w:eastAsia="zh-CN"/>
              </w:rPr>
              <w:t>渗漏收集措施应满足：危险废物贮存设施</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lang w:val="en-US" w:eastAsia="zh-CN"/>
              </w:rPr>
              <w:t>仓库式</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lang w:val="en-US" w:eastAsia="zh-CN"/>
              </w:rPr>
              <w:t>的设计原则地面与裙脚要用坚固、防渗的材料建造，建筑材料必须与危险废物相容。</w:t>
            </w:r>
            <w:r>
              <w:rPr>
                <w:rFonts w:hint="eastAsia" w:cs="Times New Roman"/>
                <w:color w:val="auto"/>
                <w:spacing w:val="0"/>
                <w:position w:val="0"/>
                <w:sz w:val="21"/>
                <w:szCs w:val="21"/>
                <w:lang w:val="en-US" w:eastAsia="zh-CN"/>
              </w:rPr>
              <w:t>③</w:t>
            </w:r>
            <w:r>
              <w:rPr>
                <w:rFonts w:hint="default" w:ascii="Times New Roman" w:hAnsi="Times New Roman" w:eastAsia="宋体" w:cs="Times New Roman"/>
                <w:color w:val="auto"/>
                <w:spacing w:val="0"/>
                <w:position w:val="0"/>
                <w:sz w:val="21"/>
                <w:szCs w:val="21"/>
                <w:lang w:val="en-US" w:eastAsia="zh-CN"/>
              </w:rPr>
              <w:t>装载液体、半固体危险废物的容器内须留足够空间，容器顶部与液体表面之间保留100mm以上的空间，液态危废需将盛装容器放至防泄漏托盘（或围堰）内并在容器粘贴危险废物标签</w:t>
            </w:r>
            <w:r>
              <w:rPr>
                <w:rFonts w:hint="eastAsia" w:ascii="Times New Roman" w:hAnsi="Times New Roman"/>
                <w:color w:val="auto"/>
                <w:spacing w:val="0"/>
                <w:position w:val="0"/>
                <w:sz w:val="21"/>
                <w:szCs w:val="21"/>
              </w:rPr>
              <w:t>。</w:t>
            </w:r>
          </w:p>
          <w:p w14:paraId="1A9A671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
                <w:color w:val="auto"/>
                <w:spacing w:val="0"/>
                <w:kern w:val="0"/>
                <w:position w:val="0"/>
                <w:sz w:val="21"/>
                <w:szCs w:val="21"/>
              </w:rPr>
            </w:pPr>
            <w:r>
              <w:rPr>
                <w:rFonts w:hint="eastAsia"/>
                <w:b/>
                <w:color w:val="auto"/>
                <w:spacing w:val="0"/>
                <w:kern w:val="0"/>
                <w:position w:val="0"/>
                <w:sz w:val="21"/>
                <w:szCs w:val="21"/>
                <w:lang w:val="en-US" w:eastAsia="zh-CN"/>
              </w:rPr>
              <w:t>4</w:t>
            </w:r>
            <w:r>
              <w:rPr>
                <w:b/>
                <w:color w:val="auto"/>
                <w:spacing w:val="0"/>
                <w:kern w:val="0"/>
                <w:position w:val="0"/>
                <w:sz w:val="21"/>
                <w:szCs w:val="21"/>
              </w:rPr>
              <w:t>声环境质量现状调查与评价</w:t>
            </w:r>
          </w:p>
          <w:p w14:paraId="1E5CB82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本次评价噪声监测数据采用</w:t>
            </w:r>
            <w:r>
              <w:rPr>
                <w:rFonts w:hint="eastAsia" w:ascii="Times New Roman" w:hAnsi="Times New Roman" w:eastAsia="宋体" w:cs="Times New Roman"/>
                <w:color w:val="auto"/>
                <w:spacing w:val="0"/>
                <w:position w:val="0"/>
                <w:sz w:val="21"/>
                <w:szCs w:val="21"/>
                <w:lang w:val="en-US" w:eastAsia="zh-CN"/>
              </w:rPr>
              <w:t>2024年12月</w:t>
            </w:r>
            <w:r>
              <w:rPr>
                <w:rFonts w:hint="eastAsia" w:cs="Times New Roman"/>
                <w:color w:val="auto"/>
                <w:spacing w:val="0"/>
                <w:position w:val="0"/>
                <w:sz w:val="21"/>
                <w:szCs w:val="21"/>
                <w:lang w:val="en-US" w:eastAsia="zh-CN"/>
              </w:rPr>
              <w:t>14</w:t>
            </w:r>
            <w:r>
              <w:rPr>
                <w:rFonts w:hint="eastAsia" w:ascii="Times New Roman" w:hAnsi="Times New Roman" w:eastAsia="宋体" w:cs="Times New Roman"/>
                <w:color w:val="auto"/>
                <w:spacing w:val="0"/>
                <w:position w:val="0"/>
                <w:sz w:val="21"/>
                <w:szCs w:val="21"/>
                <w:lang w:val="en-US" w:eastAsia="zh-CN"/>
              </w:rPr>
              <w:t>日新疆卓凯新环境科技有限公司</w:t>
            </w:r>
            <w:r>
              <w:rPr>
                <w:rFonts w:hint="default" w:ascii="Times New Roman" w:hAnsi="Times New Roman" w:eastAsia="宋体" w:cs="Times New Roman"/>
                <w:color w:val="auto"/>
                <w:spacing w:val="0"/>
                <w:position w:val="0"/>
                <w:sz w:val="21"/>
                <w:szCs w:val="21"/>
                <w:lang w:val="en-US" w:eastAsia="zh-CN"/>
              </w:rPr>
              <w:t>对项目区的现状监测数据。</w:t>
            </w:r>
          </w:p>
          <w:p w14:paraId="3C67754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（1）监测点布置</w:t>
            </w:r>
          </w:p>
          <w:p w14:paraId="48021D5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噪声监测点分别位于厂界东、西、南、北</w:t>
            </w:r>
            <w:r>
              <w:rPr>
                <w:rFonts w:hint="eastAsia" w:cs="Times New Roman"/>
                <w:color w:val="auto"/>
                <w:spacing w:val="0"/>
                <w:position w:val="0"/>
                <w:sz w:val="21"/>
                <w:szCs w:val="21"/>
                <w:lang w:val="en-US" w:eastAsia="zh-CN"/>
              </w:rPr>
              <w:t>外一米处</w:t>
            </w:r>
            <w:r>
              <w:rPr>
                <w:rFonts w:hint="default" w:ascii="Times New Roman" w:hAnsi="Times New Roman" w:eastAsia="宋体" w:cs="Times New Roman"/>
                <w:color w:val="auto"/>
                <w:spacing w:val="0"/>
                <w:position w:val="0"/>
                <w:sz w:val="21"/>
                <w:szCs w:val="21"/>
              </w:rPr>
              <w:t>四个</w:t>
            </w:r>
            <w:r>
              <w:rPr>
                <w:rFonts w:hint="eastAsia" w:cs="Times New Roman"/>
                <w:color w:val="auto"/>
                <w:spacing w:val="0"/>
                <w:position w:val="0"/>
                <w:sz w:val="21"/>
                <w:szCs w:val="21"/>
                <w:lang w:val="en-US" w:eastAsia="zh-CN"/>
              </w:rPr>
              <w:t>点位</w:t>
            </w:r>
            <w:r>
              <w:rPr>
                <w:rFonts w:hint="default" w:ascii="Times New Roman" w:hAnsi="Times New Roman" w:eastAsia="宋体" w:cs="Times New Roman"/>
                <w:color w:val="auto"/>
                <w:spacing w:val="0"/>
                <w:position w:val="0"/>
                <w:sz w:val="21"/>
                <w:szCs w:val="21"/>
              </w:rPr>
              <w:t>。</w:t>
            </w:r>
          </w:p>
          <w:p w14:paraId="60141F4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（2）监测项目</w:t>
            </w:r>
          </w:p>
          <w:p w14:paraId="35B13BE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声环境监测项目为等效A声级。</w:t>
            </w:r>
          </w:p>
          <w:p w14:paraId="00A611B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（3）监测时间、频率及方法</w:t>
            </w:r>
          </w:p>
          <w:p w14:paraId="1171560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监测时间及频率：监测时间为</w:t>
            </w:r>
            <w:r>
              <w:rPr>
                <w:rFonts w:hint="eastAsia" w:ascii="Times New Roman" w:hAnsi="Times New Roman" w:eastAsia="宋体" w:cs="Times New Roman"/>
                <w:color w:val="auto"/>
                <w:spacing w:val="0"/>
                <w:position w:val="0"/>
                <w:sz w:val="21"/>
                <w:szCs w:val="21"/>
                <w:lang w:val="en-US" w:eastAsia="zh-CN"/>
              </w:rPr>
              <w:t>2024年12月</w:t>
            </w:r>
            <w:r>
              <w:rPr>
                <w:rFonts w:hint="eastAsia" w:cs="Times New Roman"/>
                <w:color w:val="auto"/>
                <w:spacing w:val="0"/>
                <w:position w:val="0"/>
                <w:sz w:val="21"/>
                <w:szCs w:val="21"/>
                <w:lang w:val="en-US" w:eastAsia="zh-CN"/>
              </w:rPr>
              <w:t>14</w:t>
            </w:r>
            <w:r>
              <w:rPr>
                <w:rFonts w:hint="eastAsia" w:ascii="Times New Roman" w:hAnsi="Times New Roman" w:eastAsia="宋体" w:cs="Times New Roman"/>
                <w:color w:val="auto"/>
                <w:spacing w:val="0"/>
                <w:position w:val="0"/>
                <w:sz w:val="21"/>
                <w:szCs w:val="21"/>
                <w:lang w:val="en-US" w:eastAsia="zh-CN"/>
              </w:rPr>
              <w:t>日</w:t>
            </w:r>
            <w:r>
              <w:rPr>
                <w:rFonts w:hint="default" w:ascii="Times New Roman" w:hAnsi="Times New Roman" w:eastAsia="宋体" w:cs="Times New Roman"/>
                <w:color w:val="auto"/>
                <w:spacing w:val="0"/>
                <w:position w:val="0"/>
                <w:sz w:val="21"/>
                <w:szCs w:val="21"/>
              </w:rPr>
              <w:t>，昼夜连续监测；</w:t>
            </w:r>
          </w:p>
          <w:p w14:paraId="736AD63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监测仪器及方法见表3-</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rPr>
              <w:t>。</w:t>
            </w:r>
          </w:p>
          <w:p w14:paraId="15D4DA64">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en-US" w:eastAsia="zh-CN"/>
              </w:rPr>
            </w:pPr>
            <w:r>
              <w:rPr>
                <w:rFonts w:hint="eastAsia" w:ascii="Times New Roman" w:hAnsi="Times New Roman" w:eastAsia="宋体" w:cs="Times New Roman"/>
                <w:b/>
                <w:snapToGrid w:val="0"/>
                <w:color w:val="auto"/>
                <w:spacing w:val="0"/>
                <w:kern w:val="0"/>
                <w:position w:val="0"/>
                <w:sz w:val="21"/>
                <w:szCs w:val="21"/>
                <w:lang w:val="en-US" w:eastAsia="zh-CN"/>
              </w:rPr>
              <w:t>表</w:t>
            </w:r>
            <w:r>
              <w:rPr>
                <w:rFonts w:hint="default" w:ascii="Times New Roman" w:hAnsi="Times New Roman" w:eastAsia="宋体" w:cs="Times New Roman"/>
                <w:b/>
                <w:snapToGrid w:val="0"/>
                <w:color w:val="auto"/>
                <w:spacing w:val="0"/>
                <w:kern w:val="0"/>
                <w:position w:val="0"/>
                <w:sz w:val="21"/>
                <w:szCs w:val="21"/>
                <w:lang w:val="en-US" w:eastAsia="zh-CN"/>
              </w:rPr>
              <w:t>3-4</w:t>
            </w:r>
            <w:r>
              <w:rPr>
                <w:rFonts w:hint="eastAsia" w:ascii="Times New Roman" w:hAnsi="Times New Roman" w:eastAsia="宋体" w:cs="Times New Roman"/>
                <w:b/>
                <w:snapToGrid w:val="0"/>
                <w:color w:val="auto"/>
                <w:spacing w:val="0"/>
                <w:kern w:val="0"/>
                <w:position w:val="0"/>
                <w:sz w:val="21"/>
                <w:szCs w:val="21"/>
                <w:lang w:val="en-US" w:eastAsia="zh-CN"/>
              </w:rPr>
              <w:t xml:space="preserve">    噪声现状监测仪器及方法</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256"/>
              <w:gridCol w:w="1992"/>
              <w:gridCol w:w="1993"/>
            </w:tblGrid>
            <w:tr w14:paraId="5C8B7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tcBorders>
                    <w:tl2br w:val="nil"/>
                    <w:tr2bl w:val="nil"/>
                  </w:tcBorders>
                  <w:noWrap w:val="0"/>
                  <w:vAlign w:val="center"/>
                </w:tcPr>
                <w:p w14:paraId="0DA25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监测仪器</w:t>
                  </w:r>
                </w:p>
              </w:tc>
              <w:tc>
                <w:tcPr>
                  <w:tcW w:w="2256" w:type="dxa"/>
                  <w:tcBorders>
                    <w:tl2br w:val="nil"/>
                    <w:tr2bl w:val="nil"/>
                  </w:tcBorders>
                  <w:noWrap w:val="0"/>
                  <w:vAlign w:val="center"/>
                </w:tcPr>
                <w:p w14:paraId="090D0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监测方法</w:t>
                  </w:r>
                </w:p>
              </w:tc>
              <w:tc>
                <w:tcPr>
                  <w:tcW w:w="1992" w:type="dxa"/>
                  <w:tcBorders>
                    <w:tl2br w:val="nil"/>
                    <w:tr2bl w:val="nil"/>
                  </w:tcBorders>
                  <w:noWrap w:val="0"/>
                  <w:vAlign w:val="center"/>
                </w:tcPr>
                <w:p w14:paraId="1E75D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监测范围</w:t>
                  </w:r>
                </w:p>
              </w:tc>
              <w:tc>
                <w:tcPr>
                  <w:tcW w:w="1993" w:type="dxa"/>
                  <w:tcBorders>
                    <w:tl2br w:val="nil"/>
                    <w:tr2bl w:val="nil"/>
                  </w:tcBorders>
                  <w:noWrap w:val="0"/>
                  <w:vAlign w:val="center"/>
                </w:tcPr>
                <w:p w14:paraId="7C78CD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方法来源</w:t>
                  </w:r>
                </w:p>
              </w:tc>
            </w:tr>
            <w:tr w14:paraId="7782B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6" w:type="dxa"/>
                  <w:tcBorders>
                    <w:tl2br w:val="nil"/>
                    <w:tr2bl w:val="nil"/>
                  </w:tcBorders>
                  <w:noWrap w:val="0"/>
                  <w:vAlign w:val="center"/>
                </w:tcPr>
                <w:p w14:paraId="70330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AWA5688</w:t>
                  </w:r>
                </w:p>
              </w:tc>
              <w:tc>
                <w:tcPr>
                  <w:tcW w:w="2256" w:type="dxa"/>
                  <w:tcBorders>
                    <w:tl2br w:val="nil"/>
                    <w:tr2bl w:val="nil"/>
                  </w:tcBorders>
                  <w:noWrap w:val="0"/>
                  <w:vAlign w:val="center"/>
                </w:tcPr>
                <w:p w14:paraId="4C6C2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《声环境质量标准》</w:t>
                  </w:r>
                </w:p>
              </w:tc>
              <w:tc>
                <w:tcPr>
                  <w:tcW w:w="1992" w:type="dxa"/>
                  <w:tcBorders>
                    <w:tl2br w:val="nil"/>
                    <w:tr2bl w:val="nil"/>
                  </w:tcBorders>
                  <w:noWrap w:val="0"/>
                  <w:vAlign w:val="center"/>
                </w:tcPr>
                <w:p w14:paraId="479A7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30-130dB</w:t>
                  </w:r>
                </w:p>
              </w:tc>
              <w:tc>
                <w:tcPr>
                  <w:tcW w:w="1993" w:type="dxa"/>
                  <w:tcBorders>
                    <w:tl2br w:val="nil"/>
                    <w:tr2bl w:val="nil"/>
                  </w:tcBorders>
                  <w:noWrap w:val="0"/>
                  <w:vAlign w:val="center"/>
                </w:tcPr>
                <w:p w14:paraId="6A0D5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w w:val="100"/>
                      <w:position w:val="0"/>
                      <w:sz w:val="21"/>
                      <w:szCs w:val="21"/>
                      <w:highlight w:val="none"/>
                    </w:rPr>
                    <w:t>GB3096-2008</w:t>
                  </w:r>
                </w:p>
              </w:tc>
            </w:tr>
            <w:tr w14:paraId="61E43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67" w:type="dxa"/>
                  <w:gridSpan w:val="4"/>
                  <w:tcBorders>
                    <w:tl2br w:val="nil"/>
                    <w:tr2bl w:val="nil"/>
                  </w:tcBorders>
                  <w:noWrap w:val="0"/>
                  <w:vAlign w:val="center"/>
                </w:tcPr>
                <w:p w14:paraId="6E114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pacing w:val="0"/>
                      <w:w w:val="100"/>
                      <w:position w:val="0"/>
                      <w:sz w:val="21"/>
                      <w:szCs w:val="21"/>
                      <w:highlight w:val="none"/>
                    </w:rPr>
                  </w:pPr>
                  <w:r>
                    <w:rPr>
                      <w:rFonts w:hint="default" w:ascii="Times New Roman" w:hAnsi="Times New Roman" w:eastAsia="宋体" w:cs="Times New Roman"/>
                      <w:b w:val="0"/>
                      <w:bCs w:val="0"/>
                      <w:color w:val="auto"/>
                      <w:spacing w:val="0"/>
                      <w:position w:val="0"/>
                      <w:sz w:val="21"/>
                      <w:szCs w:val="21"/>
                      <w:highlight w:val="none"/>
                      <w:lang w:eastAsia="zh-CN"/>
                    </w:rPr>
                    <w:t>备注：</w:t>
                  </w:r>
                  <w:r>
                    <w:rPr>
                      <w:rFonts w:hint="default" w:ascii="Times New Roman" w:hAnsi="Times New Roman" w:eastAsia="宋体" w:cs="Times New Roman"/>
                      <w:b w:val="0"/>
                      <w:bCs w:val="0"/>
                      <w:color w:val="auto"/>
                      <w:spacing w:val="0"/>
                      <w:w w:val="100"/>
                      <w:position w:val="0"/>
                      <w:sz w:val="21"/>
                      <w:szCs w:val="21"/>
                      <w:highlight w:val="none"/>
                    </w:rPr>
                    <w:t>仪器测量量程为</w:t>
                  </w:r>
                  <w:r>
                    <w:rPr>
                      <w:rFonts w:hint="default" w:ascii="Times New Roman" w:hAnsi="Times New Roman" w:cs="Times New Roman"/>
                      <w:b w:val="0"/>
                      <w:bCs w:val="0"/>
                      <w:color w:val="auto"/>
                      <w:spacing w:val="0"/>
                      <w:w w:val="100"/>
                      <w:position w:val="0"/>
                      <w:sz w:val="21"/>
                      <w:szCs w:val="21"/>
                      <w:highlight w:val="none"/>
                      <w:lang w:val="en-US" w:eastAsia="zh-CN"/>
                    </w:rPr>
                    <w:t>28</w:t>
                  </w:r>
                  <w:r>
                    <w:rPr>
                      <w:rFonts w:hint="default" w:ascii="Times New Roman" w:hAnsi="Times New Roman" w:eastAsia="宋体" w:cs="Times New Roman"/>
                      <w:b w:val="0"/>
                      <w:bCs w:val="0"/>
                      <w:color w:val="auto"/>
                      <w:spacing w:val="0"/>
                      <w:w w:val="100"/>
                      <w:position w:val="0"/>
                      <w:sz w:val="21"/>
                      <w:szCs w:val="21"/>
                      <w:highlight w:val="none"/>
                    </w:rPr>
                    <w:t>-13</w:t>
                  </w:r>
                  <w:r>
                    <w:rPr>
                      <w:rFonts w:hint="default" w:ascii="Times New Roman" w:hAnsi="Times New Roman" w:cs="Times New Roman"/>
                      <w:b w:val="0"/>
                      <w:bCs w:val="0"/>
                      <w:color w:val="auto"/>
                      <w:spacing w:val="0"/>
                      <w:w w:val="100"/>
                      <w:position w:val="0"/>
                      <w:sz w:val="21"/>
                      <w:szCs w:val="21"/>
                      <w:highlight w:val="none"/>
                      <w:lang w:val="en-US" w:eastAsia="zh-CN"/>
                    </w:rPr>
                    <w:t>3</w:t>
                  </w:r>
                  <w:r>
                    <w:rPr>
                      <w:rFonts w:hint="default" w:ascii="Times New Roman" w:hAnsi="Times New Roman" w:eastAsia="宋体" w:cs="Times New Roman"/>
                      <w:b w:val="0"/>
                      <w:bCs w:val="0"/>
                      <w:color w:val="auto"/>
                      <w:spacing w:val="0"/>
                      <w:w w:val="100"/>
                      <w:position w:val="0"/>
                      <w:sz w:val="21"/>
                      <w:szCs w:val="21"/>
                      <w:highlight w:val="none"/>
                    </w:rPr>
                    <w:t>dB。</w:t>
                  </w:r>
                </w:p>
              </w:tc>
            </w:tr>
          </w:tbl>
          <w:p w14:paraId="18850C6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textAlignment w:val="auto"/>
              <w:rPr>
                <w:rFonts w:hint="default" w:ascii="Times New Roman" w:hAnsi="Times New Roman" w:eastAsia="宋体" w:cs="Times New Roman"/>
                <w:color w:val="auto"/>
                <w:spacing w:val="0"/>
                <w:position w:val="0"/>
                <w:sz w:val="21"/>
                <w:szCs w:val="21"/>
                <w:lang w:val="zh-CN" w:eastAsia="zh-CN"/>
              </w:rPr>
            </w:pPr>
            <w:r>
              <w:rPr>
                <w:rFonts w:hint="default" w:ascii="Times New Roman" w:hAnsi="Times New Roman" w:eastAsia="宋体" w:cs="Times New Roman"/>
                <w:color w:val="auto"/>
                <w:spacing w:val="0"/>
                <w:position w:val="0"/>
                <w:sz w:val="21"/>
                <w:szCs w:val="21"/>
                <w:lang w:val="en-US" w:eastAsia="zh-CN"/>
              </w:rPr>
              <w:t>3.</w:t>
            </w:r>
            <w:r>
              <w:rPr>
                <w:rFonts w:hint="eastAsia" w:ascii="Times New Roman" w:hAnsi="Times New Roman" w:eastAsia="宋体" w:cs="Times New Roman"/>
                <w:color w:val="auto"/>
                <w:spacing w:val="0"/>
                <w:position w:val="0"/>
                <w:sz w:val="21"/>
                <w:szCs w:val="21"/>
                <w:lang w:val="en-US" w:eastAsia="zh-CN"/>
              </w:rPr>
              <w:t>4</w:t>
            </w:r>
            <w:r>
              <w:rPr>
                <w:rFonts w:hint="default" w:ascii="Times New Roman" w:hAnsi="Times New Roman" w:eastAsia="宋体" w:cs="Times New Roman"/>
                <w:color w:val="auto"/>
                <w:spacing w:val="0"/>
                <w:position w:val="0"/>
                <w:sz w:val="21"/>
                <w:szCs w:val="21"/>
                <w:lang w:val="en-US" w:eastAsia="zh-CN"/>
              </w:rPr>
              <w:t xml:space="preserve">.2 </w:t>
            </w:r>
            <w:r>
              <w:rPr>
                <w:rFonts w:hint="default" w:ascii="Times New Roman" w:hAnsi="Times New Roman" w:eastAsia="宋体" w:cs="Times New Roman"/>
                <w:color w:val="auto"/>
                <w:spacing w:val="0"/>
                <w:position w:val="0"/>
                <w:sz w:val="21"/>
                <w:szCs w:val="21"/>
                <w:lang w:val="zh-CN" w:eastAsia="zh-CN"/>
              </w:rPr>
              <w:t>声环境现状评价</w:t>
            </w:r>
          </w:p>
          <w:p w14:paraId="7F28CFE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（1）评价标准</w:t>
            </w:r>
          </w:p>
          <w:p w14:paraId="0EDD58E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根据《声环境质量标准》（GB 3096-2008）中声环境功能区划分规定，项目边界噪声标准执行《声环境质量标准》（GB</w:t>
            </w:r>
            <w:r>
              <w:rPr>
                <w:rFonts w:hint="eastAsia" w:cs="Times New Roman"/>
                <w:color w:val="auto"/>
                <w:spacing w:val="0"/>
                <w:position w:val="0"/>
                <w:sz w:val="21"/>
                <w:szCs w:val="21"/>
                <w:lang w:val="en-US" w:eastAsia="zh-CN"/>
              </w:rPr>
              <w:t xml:space="preserve"> </w:t>
            </w:r>
            <w:r>
              <w:rPr>
                <w:rFonts w:hint="default" w:ascii="Times New Roman" w:hAnsi="Times New Roman" w:eastAsia="宋体" w:cs="Times New Roman"/>
                <w:color w:val="auto"/>
                <w:spacing w:val="0"/>
                <w:position w:val="0"/>
                <w:sz w:val="21"/>
                <w:szCs w:val="21"/>
                <w:lang w:val="en-US" w:eastAsia="zh-CN"/>
              </w:rPr>
              <w:t>3096-2008）中</w:t>
            </w:r>
            <w:r>
              <w:rPr>
                <w:rFonts w:hint="eastAsia" w:ascii="Times New Roman" w:hAnsi="Times New Roman" w:eastAsia="宋体" w:cs="Times New Roman"/>
                <w:color w:val="auto"/>
                <w:spacing w:val="0"/>
                <w:position w:val="0"/>
                <w:sz w:val="21"/>
                <w:szCs w:val="21"/>
                <w:lang w:val="en-US" w:eastAsia="zh-CN"/>
              </w:rPr>
              <w:t>3</w:t>
            </w:r>
            <w:r>
              <w:rPr>
                <w:rFonts w:hint="default" w:ascii="Times New Roman" w:hAnsi="Times New Roman" w:eastAsia="宋体" w:cs="Times New Roman"/>
                <w:color w:val="auto"/>
                <w:spacing w:val="0"/>
                <w:position w:val="0"/>
                <w:sz w:val="21"/>
                <w:szCs w:val="21"/>
                <w:lang w:val="en-US" w:eastAsia="zh-CN"/>
              </w:rPr>
              <w:t>类标准。</w:t>
            </w:r>
          </w:p>
          <w:p w14:paraId="5BBBFF8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（2）评价方法</w:t>
            </w:r>
          </w:p>
          <w:p w14:paraId="18A5BCD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评价方法采用标准值比对法。</w:t>
            </w:r>
          </w:p>
          <w:p w14:paraId="1D0F481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（3）监测及评价结果</w:t>
            </w:r>
          </w:p>
          <w:p w14:paraId="3650E07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噪声监测结果见表3-</w:t>
            </w:r>
            <w:r>
              <w:rPr>
                <w:rFonts w:hint="eastAsia" w:ascii="Times New Roman" w:hAnsi="Times New Roman" w:eastAsia="宋体" w:cs="Times New Roman"/>
                <w:color w:val="auto"/>
                <w:spacing w:val="0"/>
                <w:position w:val="0"/>
                <w:sz w:val="21"/>
                <w:szCs w:val="21"/>
                <w:lang w:val="en-US" w:eastAsia="zh-CN"/>
              </w:rPr>
              <w:t>5</w:t>
            </w:r>
            <w:r>
              <w:rPr>
                <w:rFonts w:hint="default" w:ascii="Times New Roman" w:hAnsi="Times New Roman" w:eastAsia="宋体" w:cs="Times New Roman"/>
                <w:color w:val="auto"/>
                <w:spacing w:val="0"/>
                <w:position w:val="0"/>
                <w:sz w:val="21"/>
                <w:szCs w:val="21"/>
                <w:lang w:val="en-US" w:eastAsia="zh-CN"/>
              </w:rPr>
              <w:t>。</w:t>
            </w:r>
          </w:p>
          <w:p w14:paraId="03700B59">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en-US" w:eastAsia="zh-CN"/>
              </w:rPr>
            </w:pPr>
            <w:r>
              <w:rPr>
                <w:rFonts w:hint="eastAsia" w:ascii="Times New Roman" w:hAnsi="Times New Roman" w:eastAsia="宋体" w:cs="Times New Roman"/>
                <w:b/>
                <w:snapToGrid w:val="0"/>
                <w:color w:val="auto"/>
                <w:spacing w:val="0"/>
                <w:kern w:val="0"/>
                <w:position w:val="0"/>
                <w:sz w:val="21"/>
                <w:szCs w:val="21"/>
                <w:lang w:val="en-US" w:eastAsia="zh-CN"/>
              </w:rPr>
              <w:t>表</w:t>
            </w:r>
            <w:r>
              <w:rPr>
                <w:rFonts w:hint="default" w:ascii="Times New Roman" w:hAnsi="Times New Roman" w:eastAsia="宋体" w:cs="Times New Roman"/>
                <w:b/>
                <w:snapToGrid w:val="0"/>
                <w:color w:val="auto"/>
                <w:spacing w:val="0"/>
                <w:kern w:val="0"/>
                <w:position w:val="0"/>
                <w:sz w:val="21"/>
                <w:szCs w:val="21"/>
                <w:lang w:val="en-US" w:eastAsia="zh-CN"/>
              </w:rPr>
              <w:t xml:space="preserve">3-5 </w:t>
            </w:r>
            <w:r>
              <w:rPr>
                <w:rFonts w:hint="eastAsia" w:ascii="Times New Roman" w:hAnsi="Times New Roman" w:eastAsia="宋体" w:cs="Times New Roman"/>
                <w:b/>
                <w:snapToGrid w:val="0"/>
                <w:color w:val="auto"/>
                <w:spacing w:val="0"/>
                <w:kern w:val="0"/>
                <w:position w:val="0"/>
                <w:sz w:val="21"/>
                <w:szCs w:val="21"/>
                <w:lang w:val="en-US" w:eastAsia="zh-CN"/>
              </w:rPr>
              <w:t xml:space="preserve">   评价区域内噪声现状监测结果    单位</w:t>
            </w:r>
            <w:r>
              <w:rPr>
                <w:rFonts w:hint="default" w:ascii="Times New Roman" w:hAnsi="Times New Roman" w:eastAsia="宋体" w:cs="Times New Roman"/>
                <w:b/>
                <w:snapToGrid w:val="0"/>
                <w:color w:val="auto"/>
                <w:spacing w:val="0"/>
                <w:kern w:val="0"/>
                <w:position w:val="0"/>
                <w:sz w:val="21"/>
                <w:szCs w:val="21"/>
                <w:lang w:val="en-US" w:eastAsia="zh-CN"/>
              </w:rPr>
              <w:t>：dB（A）</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328"/>
              <w:gridCol w:w="1352"/>
              <w:gridCol w:w="1023"/>
              <w:gridCol w:w="444"/>
              <w:gridCol w:w="1301"/>
              <w:gridCol w:w="995"/>
              <w:gridCol w:w="524"/>
            </w:tblGrid>
            <w:tr w14:paraId="496FD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vMerge w:val="restart"/>
                  <w:tcBorders>
                    <w:tl2br w:val="nil"/>
                    <w:tr2bl w:val="nil"/>
                  </w:tcBorders>
                  <w:noWrap w:val="0"/>
                  <w:vAlign w:val="center"/>
                </w:tcPr>
                <w:p w14:paraId="3F5D0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监测点位</w:t>
                  </w:r>
                </w:p>
              </w:tc>
              <w:tc>
                <w:tcPr>
                  <w:tcW w:w="2819" w:type="dxa"/>
                  <w:gridSpan w:val="3"/>
                  <w:tcBorders>
                    <w:tl2br w:val="nil"/>
                    <w:tr2bl w:val="nil"/>
                  </w:tcBorders>
                  <w:noWrap w:val="0"/>
                  <w:vAlign w:val="center"/>
                </w:tcPr>
                <w:p w14:paraId="6B9E6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昼间</w:t>
                  </w:r>
                </w:p>
              </w:tc>
              <w:tc>
                <w:tcPr>
                  <w:tcW w:w="2820" w:type="dxa"/>
                  <w:gridSpan w:val="3"/>
                  <w:tcBorders>
                    <w:tl2br w:val="nil"/>
                    <w:tr2bl w:val="nil"/>
                  </w:tcBorders>
                  <w:noWrap w:val="0"/>
                  <w:vAlign w:val="center"/>
                </w:tcPr>
                <w:p w14:paraId="1FED9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夜间</w:t>
                  </w:r>
                </w:p>
              </w:tc>
            </w:tr>
            <w:tr w14:paraId="13686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vMerge w:val="continue"/>
                  <w:tcBorders>
                    <w:tl2br w:val="nil"/>
                    <w:tr2bl w:val="nil"/>
                  </w:tcBorders>
                  <w:noWrap w:val="0"/>
                  <w:vAlign w:val="center"/>
                </w:tcPr>
                <w:p w14:paraId="354A4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p>
              </w:tc>
              <w:tc>
                <w:tcPr>
                  <w:tcW w:w="1352" w:type="dxa"/>
                  <w:tcBorders>
                    <w:tl2br w:val="nil"/>
                    <w:tr2bl w:val="nil"/>
                  </w:tcBorders>
                  <w:noWrap w:val="0"/>
                  <w:vAlign w:val="center"/>
                </w:tcPr>
                <w:p w14:paraId="618C4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监测</w:t>
                  </w:r>
                  <w:r>
                    <w:rPr>
                      <w:rFonts w:hint="default" w:ascii="Times New Roman" w:hAnsi="Times New Roman" w:cs="Times New Roman"/>
                      <w:b w:val="0"/>
                      <w:bCs w:val="0"/>
                      <w:color w:val="auto"/>
                      <w:spacing w:val="0"/>
                      <w:w w:val="100"/>
                      <w:position w:val="0"/>
                      <w:sz w:val="21"/>
                      <w:szCs w:val="21"/>
                      <w:highlight w:val="none"/>
                      <w:lang w:val="en-US" w:eastAsia="zh-CN"/>
                    </w:rPr>
                    <w:t>时间</w:t>
                  </w:r>
                </w:p>
              </w:tc>
              <w:tc>
                <w:tcPr>
                  <w:tcW w:w="1023" w:type="dxa"/>
                  <w:tcBorders>
                    <w:tl2br w:val="nil"/>
                    <w:tr2bl w:val="nil"/>
                  </w:tcBorders>
                  <w:noWrap w:val="0"/>
                  <w:vAlign w:val="center"/>
                </w:tcPr>
                <w:p w14:paraId="4AD8C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监测结果</w:t>
                  </w:r>
                </w:p>
              </w:tc>
              <w:tc>
                <w:tcPr>
                  <w:tcW w:w="444" w:type="dxa"/>
                  <w:tcBorders>
                    <w:tl2br w:val="nil"/>
                    <w:tr2bl w:val="nil"/>
                  </w:tcBorders>
                  <w:noWrap w:val="0"/>
                  <w:vAlign w:val="center"/>
                </w:tcPr>
                <w:p w14:paraId="11508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标准</w:t>
                  </w:r>
                </w:p>
              </w:tc>
              <w:tc>
                <w:tcPr>
                  <w:tcW w:w="1301" w:type="dxa"/>
                  <w:tcBorders>
                    <w:tl2br w:val="nil"/>
                    <w:tr2bl w:val="nil"/>
                  </w:tcBorders>
                  <w:noWrap w:val="0"/>
                  <w:vAlign w:val="center"/>
                </w:tcPr>
                <w:p w14:paraId="45343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eastAsia="zh-CN"/>
                    </w:rPr>
                  </w:pPr>
                  <w:r>
                    <w:rPr>
                      <w:rFonts w:hint="default" w:ascii="Times New Roman" w:hAnsi="Times New Roman" w:cs="Times New Roman"/>
                      <w:b w:val="0"/>
                      <w:bCs w:val="0"/>
                      <w:color w:val="auto"/>
                      <w:spacing w:val="0"/>
                      <w:w w:val="100"/>
                      <w:position w:val="0"/>
                      <w:sz w:val="21"/>
                      <w:szCs w:val="21"/>
                      <w:highlight w:val="none"/>
                    </w:rPr>
                    <w:t>监测</w:t>
                  </w:r>
                  <w:r>
                    <w:rPr>
                      <w:rFonts w:hint="default" w:ascii="Times New Roman" w:hAnsi="Times New Roman" w:cs="Times New Roman"/>
                      <w:b w:val="0"/>
                      <w:bCs w:val="0"/>
                      <w:color w:val="auto"/>
                      <w:spacing w:val="0"/>
                      <w:w w:val="100"/>
                      <w:position w:val="0"/>
                      <w:sz w:val="21"/>
                      <w:szCs w:val="21"/>
                      <w:highlight w:val="none"/>
                      <w:lang w:val="en-US" w:eastAsia="zh-CN"/>
                    </w:rPr>
                    <w:t>时间</w:t>
                  </w:r>
                </w:p>
              </w:tc>
              <w:tc>
                <w:tcPr>
                  <w:tcW w:w="995" w:type="dxa"/>
                  <w:tcBorders>
                    <w:tl2br w:val="nil"/>
                    <w:tr2bl w:val="nil"/>
                  </w:tcBorders>
                  <w:noWrap w:val="0"/>
                  <w:vAlign w:val="center"/>
                </w:tcPr>
                <w:p w14:paraId="50BE5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监测结果</w:t>
                  </w:r>
                </w:p>
              </w:tc>
              <w:tc>
                <w:tcPr>
                  <w:tcW w:w="524" w:type="dxa"/>
                  <w:tcBorders>
                    <w:tl2br w:val="nil"/>
                    <w:tr2bl w:val="nil"/>
                  </w:tcBorders>
                  <w:noWrap w:val="0"/>
                  <w:vAlign w:val="center"/>
                </w:tcPr>
                <w:p w14:paraId="2C9BC6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标准</w:t>
                  </w:r>
                </w:p>
              </w:tc>
            </w:tr>
            <w:tr w14:paraId="4454E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tcBorders>
                    <w:tl2br w:val="nil"/>
                    <w:tr2bl w:val="nil"/>
                  </w:tcBorders>
                  <w:noWrap w:val="0"/>
                  <w:vAlign w:val="center"/>
                </w:tcPr>
                <w:p w14:paraId="3040F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1#</w:t>
                  </w:r>
                  <w:r>
                    <w:rPr>
                      <w:rFonts w:hint="default" w:ascii="Times New Roman" w:hAnsi="Times New Roman" w:cs="Times New Roman"/>
                      <w:b w:val="0"/>
                      <w:bCs w:val="0"/>
                      <w:color w:val="auto"/>
                      <w:spacing w:val="0"/>
                      <w:w w:val="100"/>
                      <w:position w:val="0"/>
                      <w:sz w:val="21"/>
                      <w:szCs w:val="21"/>
                      <w:highlight w:val="none"/>
                      <w:lang w:val="en-US" w:eastAsia="zh-CN"/>
                    </w:rPr>
                    <w:t>东</w:t>
                  </w:r>
                  <w:r>
                    <w:rPr>
                      <w:rFonts w:hint="default" w:ascii="Times New Roman" w:hAnsi="Times New Roman" w:cs="Times New Roman"/>
                      <w:b w:val="0"/>
                      <w:bCs w:val="0"/>
                      <w:color w:val="auto"/>
                      <w:spacing w:val="0"/>
                      <w:w w:val="100"/>
                      <w:position w:val="0"/>
                      <w:sz w:val="21"/>
                      <w:szCs w:val="21"/>
                      <w:highlight w:val="none"/>
                      <w:lang w:eastAsia="zh-CN"/>
                    </w:rPr>
                    <w:t>北</w:t>
                  </w:r>
                  <w:r>
                    <w:rPr>
                      <w:rFonts w:hint="default" w:ascii="Times New Roman" w:hAnsi="Times New Roman" w:cs="Times New Roman"/>
                      <w:b w:val="0"/>
                      <w:bCs w:val="0"/>
                      <w:color w:val="auto"/>
                      <w:spacing w:val="0"/>
                      <w:w w:val="100"/>
                      <w:position w:val="0"/>
                      <w:sz w:val="21"/>
                      <w:szCs w:val="21"/>
                      <w:highlight w:val="none"/>
                    </w:rPr>
                    <w:t>界</w:t>
                  </w:r>
                </w:p>
              </w:tc>
              <w:tc>
                <w:tcPr>
                  <w:tcW w:w="1352" w:type="dxa"/>
                  <w:tcBorders>
                    <w:tl2br w:val="nil"/>
                    <w:tr2bl w:val="nil"/>
                  </w:tcBorders>
                  <w:noWrap w:val="0"/>
                  <w:vAlign w:val="center"/>
                </w:tcPr>
                <w:p w14:paraId="0A73BB9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b w:val="0"/>
                      <w:bCs w:val="0"/>
                      <w:color w:val="auto"/>
                      <w:spacing w:val="0"/>
                      <w:w w:val="100"/>
                      <w:position w:val="0"/>
                      <w:sz w:val="21"/>
                      <w:szCs w:val="21"/>
                      <w:highlight w:val="none"/>
                      <w:lang w:val="en-US" w:eastAsia="zh-CN"/>
                    </w:rPr>
                    <w:t>昼间</w:t>
                  </w:r>
                </w:p>
              </w:tc>
              <w:tc>
                <w:tcPr>
                  <w:tcW w:w="1023" w:type="dxa"/>
                  <w:tcBorders>
                    <w:tl2br w:val="nil"/>
                    <w:tr2bl w:val="nil"/>
                  </w:tcBorders>
                  <w:noWrap w:val="0"/>
                  <w:vAlign w:val="center"/>
                </w:tcPr>
                <w:p w14:paraId="3D69BE4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45</w:t>
                  </w:r>
                </w:p>
              </w:tc>
              <w:tc>
                <w:tcPr>
                  <w:tcW w:w="444" w:type="dxa"/>
                  <w:tcBorders>
                    <w:tl2br w:val="nil"/>
                    <w:tr2bl w:val="nil"/>
                  </w:tcBorders>
                  <w:noWrap w:val="0"/>
                  <w:vAlign w:val="center"/>
                </w:tcPr>
                <w:p w14:paraId="7639B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65</w:t>
                  </w:r>
                </w:p>
              </w:tc>
              <w:tc>
                <w:tcPr>
                  <w:tcW w:w="1301" w:type="dxa"/>
                  <w:tcBorders>
                    <w:tl2br w:val="nil"/>
                    <w:tr2bl w:val="nil"/>
                  </w:tcBorders>
                  <w:noWrap w:val="0"/>
                  <w:vAlign w:val="center"/>
                </w:tcPr>
                <w:p w14:paraId="10829A5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color w:val="auto"/>
                      <w:spacing w:val="0"/>
                      <w:position w:val="0"/>
                      <w:sz w:val="21"/>
                      <w:szCs w:val="21"/>
                      <w:lang w:val="en-US" w:eastAsia="zh-CN"/>
                    </w:rPr>
                    <w:t>夜间</w:t>
                  </w:r>
                </w:p>
              </w:tc>
              <w:tc>
                <w:tcPr>
                  <w:tcW w:w="995" w:type="dxa"/>
                  <w:tcBorders>
                    <w:tl2br w:val="nil"/>
                    <w:tr2bl w:val="nil"/>
                  </w:tcBorders>
                  <w:noWrap w:val="0"/>
                  <w:vAlign w:val="center"/>
                </w:tcPr>
                <w:p w14:paraId="7F1B9B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38</w:t>
                  </w:r>
                </w:p>
              </w:tc>
              <w:tc>
                <w:tcPr>
                  <w:tcW w:w="524" w:type="dxa"/>
                  <w:tcBorders>
                    <w:tl2br w:val="nil"/>
                    <w:tr2bl w:val="nil"/>
                  </w:tcBorders>
                  <w:noWrap w:val="0"/>
                  <w:vAlign w:val="center"/>
                </w:tcPr>
                <w:p w14:paraId="52650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55</w:t>
                  </w:r>
                </w:p>
              </w:tc>
            </w:tr>
            <w:tr w14:paraId="5B9D5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tcBorders>
                    <w:tl2br w:val="nil"/>
                    <w:tr2bl w:val="nil"/>
                  </w:tcBorders>
                  <w:noWrap w:val="0"/>
                  <w:vAlign w:val="center"/>
                </w:tcPr>
                <w:p w14:paraId="4F1A2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2#</w:t>
                  </w:r>
                  <w:r>
                    <w:rPr>
                      <w:rFonts w:hint="default" w:ascii="Times New Roman" w:hAnsi="Times New Roman" w:cs="Times New Roman"/>
                      <w:b w:val="0"/>
                      <w:bCs w:val="0"/>
                      <w:color w:val="auto"/>
                      <w:spacing w:val="0"/>
                      <w:w w:val="100"/>
                      <w:position w:val="0"/>
                      <w:sz w:val="21"/>
                      <w:szCs w:val="21"/>
                      <w:highlight w:val="none"/>
                      <w:lang w:val="en-US" w:eastAsia="zh-CN"/>
                    </w:rPr>
                    <w:t>东南</w:t>
                  </w:r>
                  <w:r>
                    <w:rPr>
                      <w:rFonts w:hint="default" w:ascii="Times New Roman" w:hAnsi="Times New Roman" w:cs="Times New Roman"/>
                      <w:b w:val="0"/>
                      <w:bCs w:val="0"/>
                      <w:color w:val="auto"/>
                      <w:spacing w:val="0"/>
                      <w:w w:val="100"/>
                      <w:position w:val="0"/>
                      <w:sz w:val="21"/>
                      <w:szCs w:val="21"/>
                      <w:highlight w:val="none"/>
                    </w:rPr>
                    <w:t>界</w:t>
                  </w:r>
                </w:p>
              </w:tc>
              <w:tc>
                <w:tcPr>
                  <w:tcW w:w="1352" w:type="dxa"/>
                  <w:tcBorders>
                    <w:tl2br w:val="nil"/>
                    <w:tr2bl w:val="nil"/>
                  </w:tcBorders>
                  <w:noWrap w:val="0"/>
                  <w:vAlign w:val="center"/>
                </w:tcPr>
                <w:p w14:paraId="749C727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b w:val="0"/>
                      <w:bCs w:val="0"/>
                      <w:color w:val="auto"/>
                      <w:spacing w:val="0"/>
                      <w:w w:val="100"/>
                      <w:position w:val="0"/>
                      <w:sz w:val="21"/>
                      <w:szCs w:val="21"/>
                      <w:highlight w:val="none"/>
                      <w:lang w:val="en-US" w:eastAsia="zh-CN"/>
                    </w:rPr>
                    <w:t>昼间</w:t>
                  </w:r>
                </w:p>
              </w:tc>
              <w:tc>
                <w:tcPr>
                  <w:tcW w:w="1023" w:type="dxa"/>
                  <w:tcBorders>
                    <w:tl2br w:val="nil"/>
                    <w:tr2bl w:val="nil"/>
                  </w:tcBorders>
                  <w:noWrap w:val="0"/>
                  <w:vAlign w:val="center"/>
                </w:tcPr>
                <w:p w14:paraId="6973D95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41</w:t>
                  </w:r>
                </w:p>
              </w:tc>
              <w:tc>
                <w:tcPr>
                  <w:tcW w:w="444" w:type="dxa"/>
                  <w:tcBorders>
                    <w:tl2br w:val="nil"/>
                    <w:tr2bl w:val="nil"/>
                  </w:tcBorders>
                  <w:noWrap w:val="0"/>
                  <w:vAlign w:val="center"/>
                </w:tcPr>
                <w:p w14:paraId="76E16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65</w:t>
                  </w:r>
                </w:p>
              </w:tc>
              <w:tc>
                <w:tcPr>
                  <w:tcW w:w="1301" w:type="dxa"/>
                  <w:tcBorders>
                    <w:tl2br w:val="nil"/>
                    <w:tr2bl w:val="nil"/>
                  </w:tcBorders>
                  <w:noWrap w:val="0"/>
                  <w:vAlign w:val="center"/>
                </w:tcPr>
                <w:p w14:paraId="68CF2CD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color w:val="auto"/>
                      <w:spacing w:val="0"/>
                      <w:position w:val="0"/>
                      <w:sz w:val="21"/>
                      <w:szCs w:val="21"/>
                      <w:lang w:val="en-US" w:eastAsia="zh-CN"/>
                    </w:rPr>
                    <w:t>夜间</w:t>
                  </w:r>
                </w:p>
              </w:tc>
              <w:tc>
                <w:tcPr>
                  <w:tcW w:w="995" w:type="dxa"/>
                  <w:tcBorders>
                    <w:tl2br w:val="nil"/>
                    <w:tr2bl w:val="nil"/>
                  </w:tcBorders>
                  <w:noWrap w:val="0"/>
                  <w:vAlign w:val="center"/>
                </w:tcPr>
                <w:p w14:paraId="17A174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39</w:t>
                  </w:r>
                </w:p>
              </w:tc>
              <w:tc>
                <w:tcPr>
                  <w:tcW w:w="524" w:type="dxa"/>
                  <w:tcBorders>
                    <w:tl2br w:val="nil"/>
                    <w:tr2bl w:val="nil"/>
                  </w:tcBorders>
                  <w:noWrap w:val="0"/>
                  <w:vAlign w:val="center"/>
                </w:tcPr>
                <w:p w14:paraId="3A0E5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55</w:t>
                  </w:r>
                </w:p>
              </w:tc>
            </w:tr>
            <w:tr w14:paraId="27975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tcBorders>
                    <w:tl2br w:val="nil"/>
                    <w:tr2bl w:val="nil"/>
                  </w:tcBorders>
                  <w:noWrap w:val="0"/>
                  <w:vAlign w:val="center"/>
                </w:tcPr>
                <w:p w14:paraId="7A951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3#</w:t>
                  </w:r>
                  <w:r>
                    <w:rPr>
                      <w:rFonts w:hint="default" w:ascii="Times New Roman" w:hAnsi="Times New Roman" w:cs="Times New Roman"/>
                      <w:b w:val="0"/>
                      <w:bCs w:val="0"/>
                      <w:color w:val="auto"/>
                      <w:spacing w:val="0"/>
                      <w:w w:val="100"/>
                      <w:position w:val="0"/>
                      <w:sz w:val="21"/>
                      <w:szCs w:val="21"/>
                      <w:highlight w:val="none"/>
                      <w:lang w:val="en-US" w:eastAsia="zh-CN"/>
                    </w:rPr>
                    <w:t>西南</w:t>
                  </w:r>
                  <w:r>
                    <w:rPr>
                      <w:rFonts w:hint="default" w:ascii="Times New Roman" w:hAnsi="Times New Roman" w:cs="Times New Roman"/>
                      <w:b w:val="0"/>
                      <w:bCs w:val="0"/>
                      <w:color w:val="auto"/>
                      <w:spacing w:val="0"/>
                      <w:w w:val="100"/>
                      <w:position w:val="0"/>
                      <w:sz w:val="21"/>
                      <w:szCs w:val="21"/>
                      <w:highlight w:val="none"/>
                    </w:rPr>
                    <w:t>界</w:t>
                  </w:r>
                </w:p>
              </w:tc>
              <w:tc>
                <w:tcPr>
                  <w:tcW w:w="1352" w:type="dxa"/>
                  <w:tcBorders>
                    <w:tl2br w:val="nil"/>
                    <w:tr2bl w:val="nil"/>
                  </w:tcBorders>
                  <w:noWrap w:val="0"/>
                  <w:vAlign w:val="center"/>
                </w:tcPr>
                <w:p w14:paraId="0A18DC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b w:val="0"/>
                      <w:bCs w:val="0"/>
                      <w:color w:val="auto"/>
                      <w:spacing w:val="0"/>
                      <w:w w:val="100"/>
                      <w:position w:val="0"/>
                      <w:sz w:val="21"/>
                      <w:szCs w:val="21"/>
                      <w:highlight w:val="none"/>
                      <w:lang w:val="en-US" w:eastAsia="zh-CN"/>
                    </w:rPr>
                    <w:t>昼间</w:t>
                  </w:r>
                </w:p>
              </w:tc>
              <w:tc>
                <w:tcPr>
                  <w:tcW w:w="1023" w:type="dxa"/>
                  <w:tcBorders>
                    <w:tl2br w:val="nil"/>
                    <w:tr2bl w:val="nil"/>
                  </w:tcBorders>
                  <w:noWrap w:val="0"/>
                  <w:vAlign w:val="center"/>
                </w:tcPr>
                <w:p w14:paraId="2CD139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44</w:t>
                  </w:r>
                </w:p>
              </w:tc>
              <w:tc>
                <w:tcPr>
                  <w:tcW w:w="444" w:type="dxa"/>
                  <w:tcBorders>
                    <w:tl2br w:val="nil"/>
                    <w:tr2bl w:val="nil"/>
                  </w:tcBorders>
                  <w:noWrap w:val="0"/>
                  <w:vAlign w:val="center"/>
                </w:tcPr>
                <w:p w14:paraId="686C3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65</w:t>
                  </w:r>
                </w:p>
              </w:tc>
              <w:tc>
                <w:tcPr>
                  <w:tcW w:w="1301" w:type="dxa"/>
                  <w:tcBorders>
                    <w:tl2br w:val="nil"/>
                    <w:tr2bl w:val="nil"/>
                  </w:tcBorders>
                  <w:noWrap w:val="0"/>
                  <w:vAlign w:val="center"/>
                </w:tcPr>
                <w:p w14:paraId="65A331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color w:val="auto"/>
                      <w:spacing w:val="0"/>
                      <w:position w:val="0"/>
                      <w:sz w:val="21"/>
                      <w:szCs w:val="21"/>
                      <w:lang w:val="en-US" w:eastAsia="zh-CN"/>
                    </w:rPr>
                    <w:t>夜间</w:t>
                  </w:r>
                </w:p>
              </w:tc>
              <w:tc>
                <w:tcPr>
                  <w:tcW w:w="995" w:type="dxa"/>
                  <w:tcBorders>
                    <w:tl2br w:val="nil"/>
                    <w:tr2bl w:val="nil"/>
                  </w:tcBorders>
                  <w:noWrap w:val="0"/>
                  <w:vAlign w:val="center"/>
                </w:tcPr>
                <w:p w14:paraId="0DB1343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41</w:t>
                  </w:r>
                </w:p>
              </w:tc>
              <w:tc>
                <w:tcPr>
                  <w:tcW w:w="524" w:type="dxa"/>
                  <w:tcBorders>
                    <w:tl2br w:val="nil"/>
                    <w:tr2bl w:val="nil"/>
                  </w:tcBorders>
                  <w:noWrap w:val="0"/>
                  <w:vAlign w:val="center"/>
                </w:tcPr>
                <w:p w14:paraId="22A8B4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55</w:t>
                  </w:r>
                </w:p>
              </w:tc>
            </w:tr>
            <w:tr w14:paraId="174B8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28" w:type="dxa"/>
                  <w:tcBorders>
                    <w:tl2br w:val="nil"/>
                    <w:tr2bl w:val="nil"/>
                  </w:tcBorders>
                  <w:noWrap w:val="0"/>
                  <w:vAlign w:val="center"/>
                </w:tcPr>
                <w:p w14:paraId="1619F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0"/>
                      <w:w w:val="100"/>
                      <w:position w:val="0"/>
                      <w:sz w:val="21"/>
                      <w:szCs w:val="21"/>
                      <w:highlight w:val="none"/>
                    </w:rPr>
                  </w:pPr>
                  <w:r>
                    <w:rPr>
                      <w:rFonts w:hint="default" w:ascii="Times New Roman" w:hAnsi="Times New Roman" w:cs="Times New Roman"/>
                      <w:b w:val="0"/>
                      <w:bCs w:val="0"/>
                      <w:color w:val="auto"/>
                      <w:spacing w:val="0"/>
                      <w:w w:val="100"/>
                      <w:position w:val="0"/>
                      <w:sz w:val="21"/>
                      <w:szCs w:val="21"/>
                      <w:highlight w:val="none"/>
                    </w:rPr>
                    <w:t>4#</w:t>
                  </w:r>
                  <w:r>
                    <w:rPr>
                      <w:rFonts w:hint="default" w:ascii="Times New Roman" w:hAnsi="Times New Roman" w:cs="Times New Roman"/>
                      <w:b w:val="0"/>
                      <w:bCs w:val="0"/>
                      <w:color w:val="auto"/>
                      <w:spacing w:val="0"/>
                      <w:w w:val="100"/>
                      <w:position w:val="0"/>
                      <w:sz w:val="21"/>
                      <w:szCs w:val="21"/>
                      <w:highlight w:val="none"/>
                      <w:lang w:val="en-US" w:eastAsia="zh-CN"/>
                    </w:rPr>
                    <w:t>西北</w:t>
                  </w:r>
                  <w:r>
                    <w:rPr>
                      <w:rFonts w:hint="default" w:ascii="Times New Roman" w:hAnsi="Times New Roman" w:cs="Times New Roman"/>
                      <w:b w:val="0"/>
                      <w:bCs w:val="0"/>
                      <w:color w:val="auto"/>
                      <w:spacing w:val="0"/>
                      <w:w w:val="100"/>
                      <w:position w:val="0"/>
                      <w:sz w:val="21"/>
                      <w:szCs w:val="21"/>
                      <w:highlight w:val="none"/>
                    </w:rPr>
                    <w:t>界</w:t>
                  </w:r>
                </w:p>
              </w:tc>
              <w:tc>
                <w:tcPr>
                  <w:tcW w:w="1352" w:type="dxa"/>
                  <w:tcBorders>
                    <w:tl2br w:val="nil"/>
                    <w:tr2bl w:val="nil"/>
                  </w:tcBorders>
                  <w:noWrap w:val="0"/>
                  <w:vAlign w:val="center"/>
                </w:tcPr>
                <w:p w14:paraId="0893A0A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b w:val="0"/>
                      <w:bCs w:val="0"/>
                      <w:color w:val="auto"/>
                      <w:spacing w:val="0"/>
                      <w:w w:val="100"/>
                      <w:position w:val="0"/>
                      <w:sz w:val="21"/>
                      <w:szCs w:val="21"/>
                      <w:highlight w:val="none"/>
                      <w:lang w:val="en-US" w:eastAsia="zh-CN"/>
                    </w:rPr>
                    <w:t>昼间</w:t>
                  </w:r>
                </w:p>
              </w:tc>
              <w:tc>
                <w:tcPr>
                  <w:tcW w:w="1023" w:type="dxa"/>
                  <w:tcBorders>
                    <w:tl2br w:val="nil"/>
                    <w:tr2bl w:val="nil"/>
                  </w:tcBorders>
                  <w:noWrap w:val="0"/>
                  <w:vAlign w:val="center"/>
                </w:tcPr>
                <w:p w14:paraId="17F699A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45</w:t>
                  </w:r>
                </w:p>
              </w:tc>
              <w:tc>
                <w:tcPr>
                  <w:tcW w:w="444" w:type="dxa"/>
                  <w:tcBorders>
                    <w:tl2br w:val="nil"/>
                    <w:tr2bl w:val="nil"/>
                  </w:tcBorders>
                  <w:noWrap w:val="0"/>
                  <w:vAlign w:val="center"/>
                </w:tcPr>
                <w:p w14:paraId="5A7CB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65</w:t>
                  </w:r>
                </w:p>
              </w:tc>
              <w:tc>
                <w:tcPr>
                  <w:tcW w:w="1301" w:type="dxa"/>
                  <w:tcBorders>
                    <w:tl2br w:val="nil"/>
                    <w:tr2bl w:val="nil"/>
                  </w:tcBorders>
                  <w:noWrap w:val="0"/>
                  <w:vAlign w:val="center"/>
                </w:tcPr>
                <w:p w14:paraId="728792A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s="Times New Roman"/>
                      <w:color w:val="auto"/>
                      <w:spacing w:val="0"/>
                      <w:position w:val="0"/>
                      <w:sz w:val="21"/>
                      <w:szCs w:val="21"/>
                      <w:lang w:val="en-US" w:eastAsia="zh-CN"/>
                    </w:rPr>
                    <w:t>夜间</w:t>
                  </w:r>
                </w:p>
              </w:tc>
              <w:tc>
                <w:tcPr>
                  <w:tcW w:w="995" w:type="dxa"/>
                  <w:tcBorders>
                    <w:tl2br w:val="nil"/>
                    <w:tr2bl w:val="nil"/>
                  </w:tcBorders>
                  <w:noWrap w:val="0"/>
                  <w:vAlign w:val="center"/>
                </w:tcPr>
                <w:p w14:paraId="556E3E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color w:val="auto"/>
                      <w:spacing w:val="0"/>
                      <w:position w:val="0"/>
                      <w:sz w:val="21"/>
                      <w:szCs w:val="21"/>
                      <w:lang w:val="en-US" w:eastAsia="zh-CN"/>
                    </w:rPr>
                    <w:t>42</w:t>
                  </w:r>
                </w:p>
              </w:tc>
              <w:tc>
                <w:tcPr>
                  <w:tcW w:w="524" w:type="dxa"/>
                  <w:tcBorders>
                    <w:tl2br w:val="nil"/>
                    <w:tr2bl w:val="nil"/>
                  </w:tcBorders>
                  <w:noWrap w:val="0"/>
                  <w:vAlign w:val="center"/>
                </w:tcPr>
                <w:p w14:paraId="7C0BA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55</w:t>
                  </w:r>
                </w:p>
              </w:tc>
            </w:tr>
          </w:tbl>
          <w:p w14:paraId="3AEB6A2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由表3-4可知，</w:t>
            </w:r>
            <w:r>
              <w:rPr>
                <w:rFonts w:hint="eastAsia" w:ascii="Times New Roman" w:hAnsi="Times New Roman" w:eastAsia="宋体" w:cs="Times New Roman"/>
                <w:color w:val="auto"/>
                <w:spacing w:val="0"/>
                <w:position w:val="0"/>
                <w:sz w:val="21"/>
                <w:szCs w:val="21"/>
                <w:lang w:val="en-US" w:eastAsia="zh-CN"/>
              </w:rPr>
              <w:t>项目区</w:t>
            </w:r>
            <w:r>
              <w:rPr>
                <w:rFonts w:hint="default" w:ascii="Times New Roman" w:hAnsi="Times New Roman" w:eastAsia="宋体" w:cs="Times New Roman"/>
                <w:color w:val="auto"/>
                <w:spacing w:val="0"/>
                <w:position w:val="0"/>
                <w:sz w:val="21"/>
                <w:szCs w:val="21"/>
                <w:lang w:val="en-US" w:eastAsia="zh-CN"/>
              </w:rPr>
              <w:t>四周噪声值均低于《声环境质量标准》（GB3096-2008）中的</w:t>
            </w:r>
            <w:r>
              <w:rPr>
                <w:rFonts w:hint="eastAsia" w:ascii="Times New Roman" w:hAnsi="Times New Roman" w:eastAsia="宋体" w:cs="Times New Roman"/>
                <w:color w:val="auto"/>
                <w:spacing w:val="0"/>
                <w:position w:val="0"/>
                <w:sz w:val="21"/>
                <w:szCs w:val="21"/>
                <w:lang w:val="en-US" w:eastAsia="zh-CN"/>
              </w:rPr>
              <w:t>3</w:t>
            </w:r>
            <w:r>
              <w:rPr>
                <w:rFonts w:hint="default" w:ascii="Times New Roman" w:hAnsi="Times New Roman" w:eastAsia="宋体" w:cs="Times New Roman"/>
                <w:color w:val="auto"/>
                <w:spacing w:val="0"/>
                <w:position w:val="0"/>
                <w:sz w:val="21"/>
                <w:szCs w:val="21"/>
                <w:lang w:val="en-US" w:eastAsia="zh-CN"/>
              </w:rPr>
              <w:t>类标准，说明项目所在区域声环境质量现状总体尚好。</w:t>
            </w:r>
          </w:p>
          <w:p w14:paraId="509744B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color w:val="auto"/>
                <w:spacing w:val="0"/>
                <w:kern w:val="0"/>
                <w:position w:val="0"/>
                <w:sz w:val="21"/>
                <w:szCs w:val="21"/>
              </w:rPr>
            </w:pPr>
            <w:r>
              <w:rPr>
                <w:rFonts w:hint="eastAsia"/>
                <w:b/>
                <w:color w:val="auto"/>
                <w:spacing w:val="0"/>
                <w:kern w:val="0"/>
                <w:position w:val="0"/>
                <w:sz w:val="21"/>
                <w:szCs w:val="21"/>
                <w:lang w:val="en-US" w:eastAsia="zh-CN"/>
              </w:rPr>
              <w:t>5</w:t>
            </w:r>
            <w:r>
              <w:rPr>
                <w:b/>
                <w:color w:val="auto"/>
                <w:spacing w:val="0"/>
                <w:kern w:val="0"/>
                <w:position w:val="0"/>
                <w:sz w:val="21"/>
                <w:szCs w:val="21"/>
              </w:rPr>
              <w:t>生态环境质量现状调查与评价</w:t>
            </w:r>
          </w:p>
          <w:p w14:paraId="4104F1D3">
            <w:pPr>
              <w:keepNext w:val="0"/>
              <w:keepLines w:val="0"/>
              <w:pageBreakBefore w:val="0"/>
              <w:widowControl/>
              <w:kinsoku/>
              <w:wordWrap/>
              <w:overflowPunct/>
              <w:topLinePunct w:val="0"/>
              <w:autoSpaceDE/>
              <w:autoSpaceDN/>
              <w:bidi w:val="0"/>
              <w:adjustRightInd w:val="0"/>
              <w:snapToGrid w:val="0"/>
              <w:spacing w:line="360" w:lineRule="auto"/>
              <w:ind w:firstLine="560"/>
              <w:textAlignment w:val="auto"/>
              <w:rPr>
                <w:color w:val="0000FF"/>
                <w:spacing w:val="0"/>
                <w:position w:val="0"/>
                <w:sz w:val="21"/>
                <w:szCs w:val="21"/>
              </w:rPr>
            </w:pPr>
            <w:r>
              <w:rPr>
                <w:rFonts w:hint="default" w:ascii="Times New Roman" w:hAnsi="Times New Roman" w:eastAsia="宋体" w:cs="Times New Roman"/>
                <w:color w:val="auto"/>
                <w:spacing w:val="0"/>
                <w:position w:val="0"/>
                <w:sz w:val="21"/>
                <w:szCs w:val="21"/>
                <w:lang w:eastAsia="zh-CN"/>
              </w:rPr>
              <w:t>依据《建设项目环境影响报告表编制技术指南（污染影响类）（试行）》（</w:t>
            </w:r>
            <w:r>
              <w:rPr>
                <w:rFonts w:hint="default" w:ascii="Times New Roman" w:hAnsi="Times New Roman" w:eastAsia="宋体" w:cs="Times New Roman"/>
                <w:color w:val="auto"/>
                <w:spacing w:val="0"/>
                <w:position w:val="0"/>
                <w:sz w:val="21"/>
                <w:szCs w:val="21"/>
                <w:lang w:val="en-US" w:eastAsia="zh-CN"/>
              </w:rPr>
              <w:t>2021年</w:t>
            </w:r>
            <w:r>
              <w:rPr>
                <w:rFonts w:hint="default" w:ascii="Times New Roman" w:hAnsi="Times New Roman" w:eastAsia="宋体" w:cs="Times New Roman"/>
                <w:color w:val="auto"/>
                <w:spacing w:val="0"/>
                <w:position w:val="0"/>
                <w:sz w:val="21"/>
                <w:szCs w:val="21"/>
                <w:lang w:eastAsia="zh-CN"/>
              </w:rPr>
              <w:t>）：</w:t>
            </w:r>
            <w:r>
              <w:rPr>
                <w:rFonts w:hint="eastAsia"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eastAsia="zh-CN"/>
              </w:rPr>
              <w:t>产业园区外建设项目新增用地且用地范围内含有生态环境保护目标时，应进行生态现状调查</w:t>
            </w:r>
            <w:r>
              <w:rPr>
                <w:rFonts w:hint="eastAsia"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eastAsia="zh-CN"/>
              </w:rPr>
              <w:t>。本项目</w:t>
            </w:r>
            <w:r>
              <w:rPr>
                <w:rFonts w:hint="eastAsia" w:ascii="Times New Roman" w:hAnsi="Times New Roman" w:eastAsia="宋体" w:cs="Times New Roman"/>
                <w:color w:val="auto"/>
                <w:spacing w:val="0"/>
                <w:position w:val="0"/>
                <w:sz w:val="21"/>
                <w:szCs w:val="21"/>
                <w:lang w:val="en-US" w:eastAsia="zh-CN"/>
              </w:rPr>
              <w:t>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w:t>
            </w:r>
            <w:r>
              <w:rPr>
                <w:rFonts w:hint="eastAsia" w:ascii="Times New Roman" w:hAnsi="Times New Roman" w:eastAsia="宋体" w:cs="Times New Roman"/>
                <w:color w:val="auto"/>
                <w:spacing w:val="0"/>
                <w:position w:val="0"/>
                <w:sz w:val="21"/>
                <w:szCs w:val="21"/>
                <w:lang w:val="en-US" w:eastAsia="zh-CN"/>
              </w:rPr>
              <w:t>，此区域为工业园区，</w:t>
            </w:r>
            <w:r>
              <w:rPr>
                <w:rFonts w:hint="default" w:ascii="Times New Roman" w:hAnsi="Times New Roman" w:eastAsia="宋体" w:cs="Times New Roman"/>
                <w:color w:val="auto"/>
                <w:spacing w:val="0"/>
                <w:position w:val="0"/>
                <w:sz w:val="21"/>
                <w:szCs w:val="21"/>
              </w:rPr>
              <w:t>占地范围内及</w:t>
            </w:r>
            <w:r>
              <w:rPr>
                <w:rFonts w:hint="default" w:ascii="Times New Roman" w:hAnsi="Times New Roman" w:eastAsia="宋体" w:cs="Times New Roman"/>
                <w:color w:val="auto"/>
                <w:spacing w:val="0"/>
                <w:position w:val="0"/>
                <w:sz w:val="21"/>
                <w:szCs w:val="21"/>
                <w:lang w:eastAsia="zh-CN"/>
              </w:rPr>
              <w:t>周边没有生态环境保护目标，</w:t>
            </w:r>
            <w:r>
              <w:rPr>
                <w:rFonts w:hint="eastAsia" w:ascii="Times New Roman" w:hAnsi="Times New Roman" w:eastAsia="宋体" w:cs="Times New Roman"/>
                <w:color w:val="auto"/>
                <w:spacing w:val="0"/>
                <w:position w:val="0"/>
                <w:sz w:val="21"/>
                <w:szCs w:val="21"/>
              </w:rPr>
              <w:t>根据现场调查，本项目所在区域</w:t>
            </w:r>
            <w:r>
              <w:rPr>
                <w:rFonts w:hint="eastAsia" w:ascii="Times New Roman" w:hAnsi="Times New Roman" w:eastAsia="宋体" w:cs="Times New Roman"/>
                <w:color w:val="auto"/>
                <w:spacing w:val="0"/>
                <w:position w:val="0"/>
                <w:sz w:val="21"/>
                <w:szCs w:val="21"/>
                <w:lang w:val="en-US" w:eastAsia="zh-CN"/>
              </w:rPr>
              <w:t>主要为人工绿化植被</w:t>
            </w:r>
            <w:r>
              <w:rPr>
                <w:rFonts w:hint="eastAsia" w:ascii="Times New Roman" w:hAnsi="Times New Roman" w:eastAsia="宋体" w:cs="Times New Roman"/>
                <w:color w:val="auto"/>
                <w:spacing w:val="0"/>
                <w:position w:val="0"/>
                <w:sz w:val="21"/>
                <w:szCs w:val="21"/>
              </w:rPr>
              <w:t>，受人为活动影响，项目区内野生动物很少，只有一些常见的小型野生种类，</w:t>
            </w:r>
            <w:r>
              <w:rPr>
                <w:rFonts w:hint="eastAsia" w:cs="Times New Roman"/>
                <w:color w:val="auto"/>
                <w:spacing w:val="0"/>
                <w:position w:val="0"/>
                <w:sz w:val="21"/>
                <w:szCs w:val="21"/>
                <w:lang w:eastAsia="zh-CN"/>
              </w:rPr>
              <w:t>如</w:t>
            </w:r>
            <w:r>
              <w:rPr>
                <w:rFonts w:hint="eastAsia" w:ascii="Times New Roman" w:hAnsi="Times New Roman" w:eastAsia="宋体" w:cs="Times New Roman"/>
                <w:color w:val="auto"/>
                <w:spacing w:val="0"/>
                <w:position w:val="0"/>
                <w:sz w:val="21"/>
                <w:szCs w:val="21"/>
              </w:rPr>
              <w:t>老鼠等小型动物，没有国家及自治区级保护动物</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eastAsia="zh-CN"/>
              </w:rPr>
              <w:t>因此本次评价不再进行生态现状调查。</w:t>
            </w:r>
          </w:p>
        </w:tc>
      </w:tr>
      <w:tr w14:paraId="29AB9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53" w:type="dxa"/>
            <w:vAlign w:val="center"/>
          </w:tcPr>
          <w:p w14:paraId="3D75B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环境保护目标</w:t>
            </w:r>
          </w:p>
        </w:tc>
        <w:tc>
          <w:tcPr>
            <w:tcW w:w="8408" w:type="dxa"/>
            <w:vAlign w:val="center"/>
          </w:tcPr>
          <w:p w14:paraId="3BE089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color w:val="000000"/>
                <w:spacing w:val="0"/>
                <w:position w:val="0"/>
                <w:sz w:val="21"/>
                <w:szCs w:val="21"/>
              </w:rPr>
            </w:pPr>
            <w:r>
              <w:rPr>
                <w:color w:val="000000"/>
                <w:spacing w:val="0"/>
                <w:position w:val="0"/>
                <w:sz w:val="21"/>
                <w:szCs w:val="21"/>
              </w:rPr>
              <w:t>（1）大气环境：项目区厂界外500m范围内无自然保护区、风景名胜区、居住区、文化区和农村地区中人群较集中的区域等保护目标分布；</w:t>
            </w:r>
          </w:p>
          <w:p w14:paraId="3A03C75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000000"/>
                <w:spacing w:val="0"/>
                <w:position w:val="0"/>
                <w:sz w:val="21"/>
                <w:szCs w:val="21"/>
              </w:rPr>
            </w:pPr>
            <w:r>
              <w:rPr>
                <w:color w:val="000000"/>
                <w:spacing w:val="0"/>
                <w:position w:val="0"/>
                <w:sz w:val="21"/>
                <w:szCs w:val="21"/>
              </w:rPr>
              <w:t>（2）声环境：项目区厂界外50m范围内无以居住、医疗卫生、文化教育、科研、行政办公等为主要功能的区域保护目标分布；</w:t>
            </w:r>
          </w:p>
          <w:p w14:paraId="0409A3B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000000"/>
                <w:spacing w:val="0"/>
                <w:position w:val="0"/>
                <w:sz w:val="21"/>
                <w:szCs w:val="21"/>
              </w:rPr>
            </w:pPr>
            <w:r>
              <w:rPr>
                <w:color w:val="000000"/>
                <w:spacing w:val="0"/>
                <w:position w:val="0"/>
                <w:sz w:val="21"/>
                <w:szCs w:val="21"/>
              </w:rPr>
              <w:t>（3）地下水环境：项目区厂界外500m范围内无地下水集中式饮用水水源和热水、矿泉水、温泉等特殊地下水资源，本项目正常运营无废水产生，确保项目所在区域的水环境不改变其现有使用功能。</w:t>
            </w:r>
          </w:p>
          <w:p w14:paraId="6844C9D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0000FF"/>
                <w:spacing w:val="0"/>
                <w:kern w:val="0"/>
                <w:position w:val="0"/>
                <w:sz w:val="21"/>
                <w:szCs w:val="21"/>
              </w:rPr>
            </w:pPr>
            <w:r>
              <w:rPr>
                <w:rFonts w:hint="eastAsia"/>
                <w:color w:val="000000"/>
                <w:spacing w:val="0"/>
                <w:position w:val="0"/>
                <w:sz w:val="21"/>
                <w:szCs w:val="21"/>
                <w:lang w:eastAsia="zh-CN"/>
              </w:rPr>
              <w:t>（</w:t>
            </w:r>
            <w:r>
              <w:rPr>
                <w:color w:val="000000"/>
                <w:spacing w:val="0"/>
                <w:position w:val="0"/>
                <w:sz w:val="21"/>
                <w:szCs w:val="21"/>
              </w:rPr>
              <w:t>4）生态环境：项目区位于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w:t>
            </w:r>
            <w:r>
              <w:rPr>
                <w:rFonts w:hint="eastAsia" w:ascii="Times New Roman" w:hAnsi="Times New Roman" w:eastAsia="宋体" w:cs="Times New Roman"/>
                <w:color w:val="auto"/>
                <w:spacing w:val="0"/>
                <w:position w:val="0"/>
                <w:sz w:val="21"/>
                <w:szCs w:val="21"/>
                <w:lang w:val="en-US" w:eastAsia="zh-CN"/>
              </w:rPr>
              <w:t>，此区域为工业园区</w:t>
            </w:r>
            <w:r>
              <w:rPr>
                <w:color w:val="000000"/>
                <w:spacing w:val="0"/>
                <w:position w:val="0"/>
                <w:sz w:val="21"/>
                <w:szCs w:val="21"/>
              </w:rPr>
              <w:t>，</w:t>
            </w:r>
            <w:r>
              <w:rPr>
                <w:rFonts w:hint="eastAsia"/>
                <w:color w:val="000000"/>
                <w:spacing w:val="0"/>
                <w:position w:val="0"/>
                <w:sz w:val="21"/>
                <w:szCs w:val="21"/>
                <w:lang w:val="en-US" w:eastAsia="zh-CN"/>
              </w:rPr>
              <w:t>受人为因素影响附近没有保护动植物</w:t>
            </w:r>
            <w:r>
              <w:rPr>
                <w:color w:val="000000"/>
                <w:spacing w:val="0"/>
                <w:position w:val="0"/>
                <w:sz w:val="21"/>
                <w:szCs w:val="21"/>
              </w:rPr>
              <w:t>。</w:t>
            </w:r>
          </w:p>
        </w:tc>
      </w:tr>
      <w:tr w14:paraId="38A42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tcMar>
              <w:left w:w="28" w:type="dxa"/>
              <w:right w:w="28" w:type="dxa"/>
            </w:tcMar>
            <w:vAlign w:val="center"/>
          </w:tcPr>
          <w:p w14:paraId="121B1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2ABC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FB7F7AE">
            <w:pPr>
              <w:ind w:left="0" w:leftChars="0" w:firstLine="0" w:firstLineChars="0"/>
            </w:pPr>
          </w:p>
          <w:p w14:paraId="2CA13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613A5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7AABB4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6E7E1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污染物排放控制标准</w:t>
            </w:r>
          </w:p>
          <w:p w14:paraId="1741C0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1E758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62837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169CF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389E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1C846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BFF0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ABB3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59A3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2DF14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B24D3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9D7E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5C557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E2E2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73AC6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CAA0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1856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B866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4A66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1A6FCE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C233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A5855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05A0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7E7B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69A2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9B8E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E6E9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1C3E19F2">
            <w:pPr>
              <w:pStyle w:val="5"/>
              <w:rPr>
                <w:color w:val="auto"/>
                <w:spacing w:val="0"/>
                <w:kern w:val="0"/>
                <w:position w:val="0"/>
                <w:sz w:val="21"/>
                <w:szCs w:val="21"/>
              </w:rPr>
            </w:pPr>
          </w:p>
          <w:p w14:paraId="130798E0"/>
          <w:p w14:paraId="390B6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795C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8BF2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D01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63A190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7D8D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25D4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6E3A50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污染物排放控制标准</w:t>
            </w:r>
          </w:p>
          <w:p w14:paraId="060D5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3F9A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3AE85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5AD3C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C2EC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3FEE7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0ADDD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4BE79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77514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spacing w:val="0"/>
                <w:kern w:val="0"/>
                <w:position w:val="0"/>
                <w:sz w:val="21"/>
                <w:szCs w:val="21"/>
              </w:rPr>
            </w:pPr>
          </w:p>
          <w:p w14:paraId="1A63EB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p w14:paraId="2EACE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p>
        </w:tc>
        <w:tc>
          <w:tcPr>
            <w:tcW w:w="8408" w:type="dxa"/>
            <w:vAlign w:val="center"/>
          </w:tcPr>
          <w:p w14:paraId="716C222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pacing w:val="0"/>
                <w:position w:val="0"/>
                <w:sz w:val="21"/>
                <w:szCs w:val="21"/>
              </w:rPr>
            </w:pPr>
            <w:r>
              <w:rPr>
                <w:b/>
                <w:bCs/>
                <w:color w:val="auto"/>
                <w:spacing w:val="0"/>
                <w:position w:val="0"/>
                <w:sz w:val="21"/>
                <w:szCs w:val="21"/>
              </w:rPr>
              <w:t>1废气排放标准</w:t>
            </w:r>
          </w:p>
          <w:p w14:paraId="18AAB964">
            <w:pPr>
              <w:keepNext w:val="0"/>
              <w:keepLines w:val="0"/>
              <w:pageBreakBefore w:val="0"/>
              <w:widowControl/>
              <w:kinsoku/>
              <w:wordWrap/>
              <w:overflowPunct/>
              <w:topLinePunct w:val="0"/>
              <w:autoSpaceDE/>
              <w:autoSpaceDN/>
              <w:bidi w:val="0"/>
              <w:spacing w:line="360" w:lineRule="auto"/>
              <w:ind w:firstLine="560"/>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color w:val="auto"/>
                <w:spacing w:val="0"/>
                <w:position w:val="0"/>
                <w:sz w:val="21"/>
                <w:szCs w:val="21"/>
              </w:rPr>
              <w:t>本项目</w:t>
            </w:r>
            <w:r>
              <w:rPr>
                <w:rFonts w:hint="eastAsia"/>
                <w:color w:val="auto"/>
                <w:spacing w:val="0"/>
                <w:position w:val="0"/>
                <w:sz w:val="21"/>
                <w:szCs w:val="21"/>
                <w:lang w:val="en-US" w:eastAsia="zh-CN"/>
              </w:rPr>
              <w:t>位于</w:t>
            </w:r>
            <w:r>
              <w:rPr>
                <w:rFonts w:hint="eastAsia" w:cs="Times New Roman"/>
                <w:color w:val="auto"/>
                <w:spacing w:val="0"/>
                <w:position w:val="0"/>
                <w:sz w:val="21"/>
                <w:szCs w:val="21"/>
                <w:lang w:val="en-US" w:eastAsia="zh-CN"/>
              </w:rPr>
              <w:t>“奎-独-乌”大气重点联防联控区域，应执行特别排放浓度限值，</w:t>
            </w:r>
            <w:r>
              <w:rPr>
                <w:rFonts w:hint="eastAsia"/>
                <w:color w:val="auto"/>
                <w:spacing w:val="0"/>
                <w:position w:val="0"/>
                <w:sz w:val="21"/>
                <w:szCs w:val="21"/>
                <w:lang w:val="en-US" w:eastAsia="zh-CN"/>
              </w:rPr>
              <w:t>本项目</w:t>
            </w:r>
            <w:r>
              <w:rPr>
                <w:rFonts w:hint="eastAsia"/>
                <w:color w:val="auto"/>
                <w:spacing w:val="0"/>
                <w:position w:val="0"/>
                <w:sz w:val="21"/>
                <w:szCs w:val="21"/>
              </w:rPr>
              <w:t>生产线产生的颗粒物、</w:t>
            </w:r>
            <w:r>
              <w:rPr>
                <w:rFonts w:hint="eastAsia"/>
                <w:color w:val="auto"/>
                <w:spacing w:val="0"/>
                <w:position w:val="0"/>
                <w:sz w:val="21"/>
                <w:szCs w:val="21"/>
                <w:lang w:val="en-US" w:eastAsia="zh-CN"/>
              </w:rPr>
              <w:t>非甲烷总烃、氯化氢</w:t>
            </w:r>
            <w:r>
              <w:rPr>
                <w:rFonts w:hint="eastAsia"/>
                <w:color w:val="auto"/>
                <w:spacing w:val="0"/>
                <w:position w:val="0"/>
                <w:sz w:val="21"/>
                <w:szCs w:val="21"/>
              </w:rPr>
              <w:t>排放执行</w:t>
            </w:r>
            <w:r>
              <w:rPr>
                <w:rFonts w:hint="eastAsia" w:cs="宋体"/>
                <w:color w:val="auto"/>
                <w:spacing w:val="0"/>
                <w:position w:val="0"/>
                <w:sz w:val="21"/>
                <w:szCs w:val="21"/>
                <w:lang w:val="en-US" w:eastAsia="zh-CN"/>
              </w:rPr>
              <w:t>《合成树脂工业污染物排放标准》（GB- 31572-2015）及修改单</w:t>
            </w:r>
            <w:r>
              <w:rPr>
                <w:rFonts w:hint="eastAsia" w:ascii="Times New Roman" w:hAnsi="Times New Roman" w:eastAsia="宋体" w:cs="Times New Roman"/>
                <w:color w:val="auto"/>
                <w:spacing w:val="0"/>
                <w:position w:val="0"/>
                <w:sz w:val="21"/>
                <w:szCs w:val="21"/>
                <w:lang w:val="en-US" w:eastAsia="zh-CN"/>
              </w:rPr>
              <w:t>中</w:t>
            </w:r>
            <w:r>
              <w:rPr>
                <w:rFonts w:hint="eastAsia" w:cs="Times New Roman"/>
                <w:color w:val="auto"/>
                <w:spacing w:val="0"/>
                <w:position w:val="0"/>
                <w:sz w:val="21"/>
                <w:szCs w:val="21"/>
                <w:lang w:val="en-US" w:eastAsia="zh-CN"/>
              </w:rPr>
              <w:t>表5</w:t>
            </w:r>
            <w:r>
              <w:rPr>
                <w:rFonts w:hint="default" w:ascii="Times New Roman" w:hAnsi="Times New Roman" w:eastAsia="宋体" w:cs="Times New Roman"/>
                <w:color w:val="auto"/>
                <w:spacing w:val="0"/>
                <w:position w:val="0"/>
                <w:sz w:val="21"/>
                <w:szCs w:val="21"/>
                <w:lang w:val="en-US" w:eastAsia="zh-CN"/>
              </w:rPr>
              <w:t>特别排放限值；厂界无组织</w:t>
            </w:r>
            <w:r>
              <w:rPr>
                <w:rFonts w:hint="eastAsia" w:cs="Times New Roman"/>
                <w:color w:val="auto"/>
                <w:spacing w:val="0"/>
                <w:position w:val="0"/>
                <w:sz w:val="21"/>
                <w:szCs w:val="21"/>
                <w:lang w:val="en-US" w:eastAsia="zh-CN"/>
              </w:rPr>
              <w:t>氯化氢</w:t>
            </w:r>
            <w:r>
              <w:rPr>
                <w:rFonts w:hint="default" w:ascii="Times New Roman" w:hAnsi="Times New Roman" w:eastAsia="宋体" w:cs="Times New Roman"/>
                <w:color w:val="auto"/>
                <w:spacing w:val="0"/>
                <w:position w:val="0"/>
                <w:sz w:val="21"/>
                <w:szCs w:val="21"/>
                <w:lang w:val="en-US" w:eastAsia="zh-CN"/>
              </w:rPr>
              <w:t>排放标准执行</w:t>
            </w:r>
            <w:r>
              <w:rPr>
                <w:rFonts w:hint="eastAsia" w:cs="宋体"/>
                <w:color w:val="auto"/>
                <w:spacing w:val="0"/>
                <w:position w:val="0"/>
                <w:sz w:val="21"/>
                <w:szCs w:val="21"/>
                <w:lang w:val="en-US" w:eastAsia="zh-CN"/>
              </w:rPr>
              <w:t>《合成树脂工业污染物排放标准》（GB- 31572-2015）及修改单</w:t>
            </w:r>
            <w:r>
              <w:rPr>
                <w:rFonts w:hint="default" w:ascii="Times New Roman" w:hAnsi="Times New Roman" w:eastAsia="宋体" w:cs="Times New Roman"/>
                <w:color w:val="auto"/>
                <w:spacing w:val="0"/>
                <w:position w:val="0"/>
                <w:sz w:val="21"/>
                <w:szCs w:val="21"/>
                <w:lang w:val="en-US" w:eastAsia="zh-CN"/>
              </w:rPr>
              <w:t>表</w:t>
            </w:r>
            <w:r>
              <w:rPr>
                <w:rFonts w:hint="eastAsia" w:cs="Times New Roman"/>
                <w:color w:val="auto"/>
                <w:spacing w:val="0"/>
                <w:position w:val="0"/>
                <w:sz w:val="21"/>
                <w:szCs w:val="21"/>
                <w:lang w:val="en-US" w:eastAsia="zh-CN"/>
              </w:rPr>
              <w:t>9</w:t>
            </w:r>
            <w:r>
              <w:rPr>
                <w:rFonts w:hint="default" w:ascii="Times New Roman" w:hAnsi="Times New Roman" w:eastAsia="宋体" w:cs="Times New Roman"/>
                <w:color w:val="auto"/>
                <w:spacing w:val="0"/>
                <w:position w:val="0"/>
                <w:sz w:val="21"/>
                <w:szCs w:val="21"/>
                <w:lang w:val="en-US" w:eastAsia="zh-CN"/>
              </w:rPr>
              <w:t>中</w:t>
            </w:r>
            <w:r>
              <w:rPr>
                <w:rFonts w:hint="eastAsia" w:cs="Times New Roman"/>
                <w:color w:val="auto"/>
                <w:spacing w:val="0"/>
                <w:position w:val="0"/>
                <w:sz w:val="21"/>
                <w:szCs w:val="21"/>
                <w:lang w:val="en-US" w:eastAsia="zh-CN"/>
              </w:rPr>
              <w:t>厂界</w:t>
            </w:r>
            <w:r>
              <w:rPr>
                <w:rFonts w:hint="default" w:ascii="Times New Roman" w:hAnsi="Times New Roman" w:eastAsia="宋体" w:cs="Times New Roman"/>
                <w:color w:val="auto"/>
                <w:spacing w:val="0"/>
                <w:position w:val="0"/>
                <w:sz w:val="21"/>
                <w:szCs w:val="21"/>
                <w:lang w:val="en-US" w:eastAsia="zh-CN"/>
              </w:rPr>
              <w:t>浓度限值；厂区内无组织非甲烷总烃执行《挥发性有机物无组织排放控制标准》（GB37822—2019）附录A厂区内VOCs无组织特别排放监控要求。</w:t>
            </w:r>
          </w:p>
          <w:p w14:paraId="3A1D83F2">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en-US" w:eastAsia="zh-CN"/>
              </w:rPr>
            </w:pPr>
            <w:r>
              <w:rPr>
                <w:rFonts w:hint="eastAsia" w:ascii="Times New Roman" w:hAnsi="Times New Roman" w:eastAsia="宋体" w:cs="Times New Roman"/>
                <w:b/>
                <w:snapToGrid w:val="0"/>
                <w:color w:val="auto"/>
                <w:spacing w:val="0"/>
                <w:kern w:val="0"/>
                <w:position w:val="0"/>
                <w:sz w:val="21"/>
                <w:szCs w:val="21"/>
                <w:lang w:val="zh-CN" w:eastAsia="zh-CN"/>
              </w:rPr>
              <w:t>表</w:t>
            </w:r>
            <w:r>
              <w:rPr>
                <w:rFonts w:hint="eastAsia" w:ascii="Times New Roman" w:hAnsi="Times New Roman" w:eastAsia="宋体" w:cs="Times New Roman"/>
                <w:b/>
                <w:snapToGrid w:val="0"/>
                <w:color w:val="auto"/>
                <w:spacing w:val="0"/>
                <w:kern w:val="0"/>
                <w:position w:val="0"/>
                <w:sz w:val="21"/>
                <w:szCs w:val="21"/>
                <w:lang w:val="en-US" w:eastAsia="zh-CN"/>
              </w:rPr>
              <w:t xml:space="preserve">3-6     </w:t>
            </w:r>
            <w:r>
              <w:rPr>
                <w:rFonts w:hint="eastAsia" w:ascii="Times New Roman" w:hAnsi="Times New Roman" w:eastAsia="宋体" w:cs="Times New Roman"/>
                <w:b/>
                <w:snapToGrid w:val="0"/>
                <w:color w:val="auto"/>
                <w:spacing w:val="0"/>
                <w:kern w:val="0"/>
                <w:position w:val="0"/>
                <w:sz w:val="21"/>
                <w:szCs w:val="21"/>
                <w:lang w:val="zh-CN" w:eastAsia="zh-CN"/>
              </w:rPr>
              <w:t>大气污染物综合排放标准</w:t>
            </w:r>
            <w:r>
              <w:rPr>
                <w:rFonts w:hint="eastAsia" w:ascii="Times New Roman" w:hAnsi="Times New Roman" w:eastAsia="宋体" w:cs="Times New Roman"/>
                <w:b/>
                <w:snapToGrid w:val="0"/>
                <w:color w:val="auto"/>
                <w:spacing w:val="0"/>
                <w:kern w:val="0"/>
                <w:position w:val="0"/>
                <w:sz w:val="21"/>
                <w:szCs w:val="21"/>
                <w:lang w:val="en-US" w:eastAsia="zh-CN"/>
              </w:rPr>
              <w:t xml:space="preserve">   单位：mg/m</w:t>
            </w:r>
            <w:r>
              <w:rPr>
                <w:rFonts w:hint="eastAsia" w:ascii="Times New Roman" w:hAnsi="Times New Roman" w:eastAsia="宋体" w:cs="Times New Roman"/>
                <w:b/>
                <w:snapToGrid w:val="0"/>
                <w:color w:val="auto"/>
                <w:spacing w:val="0"/>
                <w:kern w:val="0"/>
                <w:position w:val="0"/>
                <w:sz w:val="21"/>
                <w:szCs w:val="21"/>
                <w:vertAlign w:val="superscript"/>
                <w:lang w:val="en-US" w:eastAsia="zh-CN"/>
              </w:rPr>
              <w:t>3</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3"/>
              <w:gridCol w:w="883"/>
              <w:gridCol w:w="938"/>
              <w:gridCol w:w="598"/>
              <w:gridCol w:w="639"/>
              <w:gridCol w:w="1051"/>
              <w:gridCol w:w="783"/>
              <w:gridCol w:w="784"/>
              <w:gridCol w:w="1754"/>
            </w:tblGrid>
            <w:tr w14:paraId="6A8461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448" w:type="pct"/>
                  <w:vMerge w:val="restart"/>
                  <w:tcBorders>
                    <w:tl2br w:val="nil"/>
                    <w:tr2bl w:val="nil"/>
                  </w:tcBorders>
                  <w:shd w:val="clear" w:color="auto" w:fill="auto"/>
                  <w:vAlign w:val="center"/>
                </w:tcPr>
                <w:p w14:paraId="7E6B68C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val="en-US" w:bidi="zh-CN"/>
                    </w:rPr>
                    <w:t>生产线</w:t>
                  </w:r>
                </w:p>
              </w:tc>
              <w:tc>
                <w:tcPr>
                  <w:tcW w:w="540" w:type="pct"/>
                  <w:vMerge w:val="restart"/>
                  <w:tcBorders>
                    <w:tl2br w:val="nil"/>
                    <w:tr2bl w:val="nil"/>
                  </w:tcBorders>
                  <w:shd w:val="clear" w:color="auto" w:fill="auto"/>
                  <w:vAlign w:val="center"/>
                </w:tcPr>
                <w:p w14:paraId="0492D79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zh-CN"/>
                    </w:rPr>
                  </w:pPr>
                  <w:r>
                    <w:rPr>
                      <w:rFonts w:hint="eastAsia"/>
                      <w:color w:val="auto"/>
                      <w:spacing w:val="0"/>
                      <w:position w:val="0"/>
                      <w:sz w:val="21"/>
                      <w:szCs w:val="21"/>
                      <w:lang w:bidi="zh-CN"/>
                    </w:rPr>
                    <w:t>污染物</w:t>
                  </w:r>
                </w:p>
              </w:tc>
              <w:tc>
                <w:tcPr>
                  <w:tcW w:w="574" w:type="pct"/>
                  <w:vMerge w:val="restart"/>
                  <w:tcBorders>
                    <w:tl2br w:val="nil"/>
                    <w:tr2bl w:val="nil"/>
                  </w:tcBorders>
                  <w:shd w:val="clear" w:color="auto" w:fill="auto"/>
                  <w:vAlign w:val="center"/>
                </w:tcPr>
                <w:p w14:paraId="7EE93FB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最高允许排放浓度</w:t>
                  </w:r>
                </w:p>
              </w:tc>
              <w:tc>
                <w:tcPr>
                  <w:tcW w:w="757" w:type="pct"/>
                  <w:gridSpan w:val="2"/>
                  <w:tcBorders>
                    <w:tl2br w:val="nil"/>
                    <w:tr2bl w:val="nil"/>
                  </w:tcBorders>
                  <w:shd w:val="clear" w:color="auto" w:fill="auto"/>
                  <w:vAlign w:val="center"/>
                </w:tcPr>
                <w:p w14:paraId="6B781AB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最高允许排放速率</w:t>
                  </w:r>
                </w:p>
              </w:tc>
              <w:tc>
                <w:tcPr>
                  <w:tcW w:w="1603" w:type="pct"/>
                  <w:gridSpan w:val="3"/>
                  <w:tcBorders>
                    <w:tl2br w:val="nil"/>
                    <w:tr2bl w:val="nil"/>
                  </w:tcBorders>
                  <w:shd w:val="clear" w:color="auto" w:fill="auto"/>
                  <w:vAlign w:val="center"/>
                </w:tcPr>
                <w:p w14:paraId="2BC696F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无组织排放浓度限值</w:t>
                  </w:r>
                </w:p>
              </w:tc>
              <w:tc>
                <w:tcPr>
                  <w:tcW w:w="1074" w:type="pct"/>
                  <w:vMerge w:val="restart"/>
                  <w:tcBorders>
                    <w:tl2br w:val="nil"/>
                    <w:tr2bl w:val="nil"/>
                  </w:tcBorders>
                  <w:shd w:val="clear" w:color="auto" w:fill="auto"/>
                  <w:vAlign w:val="center"/>
                </w:tcPr>
                <w:p w14:paraId="57C91A9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标准来源</w:t>
                  </w:r>
                </w:p>
              </w:tc>
            </w:tr>
            <w:tr w14:paraId="287AB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448" w:type="pct"/>
                  <w:vMerge w:val="continue"/>
                  <w:tcBorders>
                    <w:tl2br w:val="nil"/>
                    <w:tr2bl w:val="nil"/>
                  </w:tcBorders>
                  <w:shd w:val="clear" w:color="auto" w:fill="auto"/>
                  <w:vAlign w:val="center"/>
                </w:tcPr>
                <w:p w14:paraId="3284A59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c>
                <w:tcPr>
                  <w:tcW w:w="540" w:type="pct"/>
                  <w:vMerge w:val="continue"/>
                  <w:tcBorders>
                    <w:tl2br w:val="nil"/>
                    <w:tr2bl w:val="nil"/>
                  </w:tcBorders>
                  <w:shd w:val="clear" w:color="auto" w:fill="auto"/>
                  <w:vAlign w:val="center"/>
                </w:tcPr>
                <w:p w14:paraId="2DAB7E7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c>
                <w:tcPr>
                  <w:tcW w:w="574" w:type="pct"/>
                  <w:vMerge w:val="continue"/>
                  <w:tcBorders>
                    <w:tl2br w:val="nil"/>
                    <w:tr2bl w:val="nil"/>
                  </w:tcBorders>
                  <w:shd w:val="clear" w:color="auto" w:fill="auto"/>
                  <w:vAlign w:val="center"/>
                </w:tcPr>
                <w:p w14:paraId="627E7B0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c>
                <w:tcPr>
                  <w:tcW w:w="366" w:type="pct"/>
                  <w:tcBorders>
                    <w:tl2br w:val="nil"/>
                    <w:tr2bl w:val="nil"/>
                  </w:tcBorders>
                  <w:shd w:val="clear" w:color="auto" w:fill="auto"/>
                  <w:vAlign w:val="center"/>
                </w:tcPr>
                <w:p w14:paraId="1932DF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排气筒</w:t>
                  </w:r>
                </w:p>
              </w:tc>
              <w:tc>
                <w:tcPr>
                  <w:tcW w:w="391" w:type="pct"/>
                  <w:tcBorders>
                    <w:tl2br w:val="nil"/>
                    <w:tr2bl w:val="nil"/>
                  </w:tcBorders>
                  <w:shd w:val="clear" w:color="auto" w:fill="auto"/>
                  <w:vAlign w:val="center"/>
                </w:tcPr>
                <w:p w14:paraId="17D8C8E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c>
                <w:tcPr>
                  <w:tcW w:w="643" w:type="pct"/>
                  <w:tcBorders>
                    <w:tl2br w:val="nil"/>
                    <w:tr2bl w:val="nil"/>
                  </w:tcBorders>
                  <w:shd w:val="clear" w:color="auto" w:fill="auto"/>
                  <w:vAlign w:val="center"/>
                </w:tcPr>
                <w:p w14:paraId="56921FE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监控点</w:t>
                  </w:r>
                </w:p>
              </w:tc>
              <w:tc>
                <w:tcPr>
                  <w:tcW w:w="959" w:type="pct"/>
                  <w:gridSpan w:val="2"/>
                  <w:tcBorders>
                    <w:tl2br w:val="nil"/>
                    <w:tr2bl w:val="nil"/>
                  </w:tcBorders>
                  <w:shd w:val="clear" w:color="auto" w:fill="auto"/>
                  <w:vAlign w:val="center"/>
                </w:tcPr>
                <w:p w14:paraId="0628654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浓度</w:t>
                  </w:r>
                </w:p>
              </w:tc>
              <w:tc>
                <w:tcPr>
                  <w:tcW w:w="1074" w:type="pct"/>
                  <w:vMerge w:val="continue"/>
                  <w:tcBorders>
                    <w:tl2br w:val="nil"/>
                    <w:tr2bl w:val="nil"/>
                  </w:tcBorders>
                  <w:shd w:val="clear" w:color="auto" w:fill="auto"/>
                  <w:vAlign w:val="center"/>
                </w:tcPr>
                <w:p w14:paraId="299D016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r>
            <w:tr w14:paraId="6251C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89" w:hRule="atLeast"/>
                <w:jc w:val="center"/>
              </w:trPr>
              <w:tc>
                <w:tcPr>
                  <w:tcW w:w="448" w:type="pct"/>
                  <w:vMerge w:val="restart"/>
                  <w:tcBorders>
                    <w:tl2br w:val="nil"/>
                    <w:tr2bl w:val="nil"/>
                  </w:tcBorders>
                  <w:shd w:val="clear" w:color="auto" w:fill="auto"/>
                  <w:vAlign w:val="center"/>
                </w:tcPr>
                <w:p w14:paraId="0B8D6D2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eastAsia="zh-CN"/>
                    </w:rPr>
                    <w:t>塑料制品</w:t>
                  </w:r>
                  <w:r>
                    <w:rPr>
                      <w:rFonts w:hint="eastAsia"/>
                      <w:color w:val="auto"/>
                      <w:spacing w:val="0"/>
                      <w:position w:val="0"/>
                      <w:sz w:val="21"/>
                      <w:szCs w:val="21"/>
                      <w:lang w:val="en-US" w:bidi="zh-CN"/>
                    </w:rPr>
                    <w:t>生产线</w:t>
                  </w:r>
                </w:p>
              </w:tc>
              <w:tc>
                <w:tcPr>
                  <w:tcW w:w="540" w:type="pct"/>
                  <w:tcBorders>
                    <w:tl2br w:val="nil"/>
                    <w:tr2bl w:val="nil"/>
                  </w:tcBorders>
                  <w:shd w:val="clear" w:color="auto" w:fill="auto"/>
                  <w:vAlign w:val="center"/>
                </w:tcPr>
                <w:p w14:paraId="40AA98F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bidi="zh-CN"/>
                    </w:rPr>
                    <w:t>颗粒物</w:t>
                  </w:r>
                </w:p>
              </w:tc>
              <w:tc>
                <w:tcPr>
                  <w:tcW w:w="574" w:type="pct"/>
                  <w:tcBorders>
                    <w:tl2br w:val="nil"/>
                    <w:tr2bl w:val="nil"/>
                  </w:tcBorders>
                  <w:shd w:val="clear" w:color="auto" w:fill="auto"/>
                  <w:vAlign w:val="center"/>
                </w:tcPr>
                <w:p w14:paraId="2A6581A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20</w:t>
                  </w:r>
                </w:p>
                <w:p w14:paraId="7417B02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mg/m</w:t>
                  </w:r>
                  <w:r>
                    <w:rPr>
                      <w:rFonts w:hint="eastAsia"/>
                      <w:color w:val="auto"/>
                      <w:spacing w:val="0"/>
                      <w:position w:val="0"/>
                      <w:sz w:val="21"/>
                      <w:szCs w:val="21"/>
                      <w:vertAlign w:val="superscript"/>
                      <w:lang w:bidi="zh-CN"/>
                    </w:rPr>
                    <w:t>3</w:t>
                  </w:r>
                </w:p>
              </w:tc>
              <w:tc>
                <w:tcPr>
                  <w:tcW w:w="366" w:type="pct"/>
                  <w:tcBorders>
                    <w:tl2br w:val="nil"/>
                    <w:tr2bl w:val="nil"/>
                  </w:tcBorders>
                  <w:shd w:val="clear" w:color="auto" w:fill="auto"/>
                  <w:vAlign w:val="center"/>
                </w:tcPr>
                <w:p w14:paraId="411FB4E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15m</w:t>
                  </w:r>
                </w:p>
              </w:tc>
              <w:tc>
                <w:tcPr>
                  <w:tcW w:w="391" w:type="pct"/>
                  <w:tcBorders>
                    <w:tl2br w:val="nil"/>
                    <w:tr2bl w:val="nil"/>
                  </w:tcBorders>
                  <w:shd w:val="clear" w:color="auto" w:fill="auto"/>
                  <w:vAlign w:val="center"/>
                </w:tcPr>
                <w:p w14:paraId="21720D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w:t>
                  </w:r>
                </w:p>
              </w:tc>
              <w:tc>
                <w:tcPr>
                  <w:tcW w:w="643" w:type="pct"/>
                  <w:tcBorders>
                    <w:tl2br w:val="nil"/>
                    <w:tr2bl w:val="nil"/>
                  </w:tcBorders>
                  <w:shd w:val="clear" w:color="auto" w:fill="auto"/>
                  <w:vAlign w:val="center"/>
                </w:tcPr>
                <w:p w14:paraId="401FD244">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厂界外20m处上风向设参照点</w:t>
                  </w:r>
                  <w:r>
                    <w:rPr>
                      <w:rFonts w:hint="eastAsia"/>
                      <w:color w:val="auto"/>
                      <w:spacing w:val="0"/>
                      <w:position w:val="0"/>
                      <w:sz w:val="21"/>
                      <w:szCs w:val="21"/>
                      <w:lang w:eastAsia="zh-CN" w:bidi="zh-CN"/>
                    </w:rPr>
                    <w:t>，</w:t>
                  </w:r>
                  <w:r>
                    <w:rPr>
                      <w:rFonts w:hint="eastAsia"/>
                      <w:color w:val="auto"/>
                      <w:spacing w:val="0"/>
                      <w:position w:val="0"/>
                      <w:sz w:val="21"/>
                      <w:szCs w:val="21"/>
                      <w:lang w:bidi="zh-CN"/>
                    </w:rPr>
                    <w:t>下风向设监控点</w:t>
                  </w:r>
                </w:p>
              </w:tc>
              <w:tc>
                <w:tcPr>
                  <w:tcW w:w="959" w:type="pct"/>
                  <w:gridSpan w:val="2"/>
                  <w:tcBorders>
                    <w:tl2br w:val="nil"/>
                    <w:tr2bl w:val="nil"/>
                  </w:tcBorders>
                  <w:shd w:val="clear" w:color="auto" w:fill="auto"/>
                  <w:vAlign w:val="center"/>
                </w:tcPr>
                <w:p w14:paraId="34999F3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bidi="zh-CN"/>
                    </w:rPr>
                    <w:t>1</w:t>
                  </w:r>
                </w:p>
                <w:p w14:paraId="4AEB278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mg/m</w:t>
                  </w:r>
                  <w:r>
                    <w:rPr>
                      <w:rFonts w:hint="eastAsia"/>
                      <w:color w:val="auto"/>
                      <w:spacing w:val="0"/>
                      <w:position w:val="0"/>
                      <w:sz w:val="21"/>
                      <w:szCs w:val="21"/>
                      <w:vertAlign w:val="superscript"/>
                      <w:lang w:bidi="zh-CN"/>
                    </w:rPr>
                    <w:t>3</w:t>
                  </w:r>
                </w:p>
              </w:tc>
              <w:tc>
                <w:tcPr>
                  <w:tcW w:w="1074" w:type="pct"/>
                  <w:tcBorders>
                    <w:tl2br w:val="nil"/>
                    <w:tr2bl w:val="nil"/>
                  </w:tcBorders>
                  <w:shd w:val="clear" w:color="auto" w:fill="auto"/>
                  <w:vAlign w:val="center"/>
                </w:tcPr>
                <w:p w14:paraId="1FDF00D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s="宋体"/>
                      <w:color w:val="auto"/>
                      <w:spacing w:val="0"/>
                      <w:position w:val="0"/>
                      <w:sz w:val="21"/>
                      <w:szCs w:val="21"/>
                      <w:lang w:val="en-US" w:eastAsia="zh-CN"/>
                    </w:rPr>
                    <w:t>《合成树脂工业污染物排放标准》（GB- 31572-2015）及修改单</w:t>
                  </w:r>
                </w:p>
              </w:tc>
            </w:tr>
            <w:tr w14:paraId="25981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448" w:type="pct"/>
                  <w:vMerge w:val="continue"/>
                  <w:tcBorders>
                    <w:tl2br w:val="nil"/>
                    <w:tr2bl w:val="nil"/>
                  </w:tcBorders>
                  <w:shd w:val="clear" w:color="auto" w:fill="auto"/>
                  <w:vAlign w:val="center"/>
                </w:tcPr>
                <w:p w14:paraId="5EC0A7F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p>
              </w:tc>
              <w:tc>
                <w:tcPr>
                  <w:tcW w:w="540" w:type="pct"/>
                  <w:vMerge w:val="restart"/>
                  <w:tcBorders>
                    <w:tl2br w:val="nil"/>
                    <w:tr2bl w:val="nil"/>
                  </w:tcBorders>
                  <w:shd w:val="clear" w:color="auto" w:fill="auto"/>
                  <w:vAlign w:val="center"/>
                </w:tcPr>
                <w:p w14:paraId="64A003B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val="en-US" w:bidi="zh-CN"/>
                    </w:rPr>
                    <w:t>非甲烷总烃</w:t>
                  </w:r>
                </w:p>
              </w:tc>
              <w:tc>
                <w:tcPr>
                  <w:tcW w:w="574" w:type="pct"/>
                  <w:tcBorders>
                    <w:tl2br w:val="nil"/>
                    <w:tr2bl w:val="nil"/>
                  </w:tcBorders>
                  <w:shd w:val="clear" w:color="auto" w:fill="auto"/>
                  <w:vAlign w:val="center"/>
                </w:tcPr>
                <w:p w14:paraId="02B65FA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val="en-US" w:bidi="zh-CN"/>
                    </w:rPr>
                    <w:t>2</w:t>
                  </w:r>
                  <w:r>
                    <w:rPr>
                      <w:rFonts w:hint="eastAsia"/>
                      <w:color w:val="auto"/>
                      <w:spacing w:val="0"/>
                      <w:position w:val="0"/>
                      <w:sz w:val="21"/>
                      <w:szCs w:val="21"/>
                      <w:lang w:bidi="zh-CN"/>
                    </w:rPr>
                    <w:t>0</w:t>
                  </w:r>
                </w:p>
                <w:p w14:paraId="1518E0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mg/m</w:t>
                  </w:r>
                  <w:r>
                    <w:rPr>
                      <w:rFonts w:hint="eastAsia"/>
                      <w:color w:val="auto"/>
                      <w:spacing w:val="0"/>
                      <w:position w:val="0"/>
                      <w:sz w:val="21"/>
                      <w:szCs w:val="21"/>
                      <w:vertAlign w:val="superscript"/>
                      <w:lang w:bidi="zh-CN"/>
                    </w:rPr>
                    <w:t>3</w:t>
                  </w:r>
                </w:p>
              </w:tc>
              <w:tc>
                <w:tcPr>
                  <w:tcW w:w="366" w:type="pct"/>
                  <w:tcBorders>
                    <w:tl2br w:val="nil"/>
                    <w:tr2bl w:val="nil"/>
                  </w:tcBorders>
                  <w:shd w:val="clear" w:color="auto" w:fill="auto"/>
                  <w:vAlign w:val="center"/>
                </w:tcPr>
                <w:p w14:paraId="02F0D3D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15m</w:t>
                  </w:r>
                </w:p>
              </w:tc>
              <w:tc>
                <w:tcPr>
                  <w:tcW w:w="391" w:type="pct"/>
                  <w:tcBorders>
                    <w:tl2br w:val="nil"/>
                    <w:tr2bl w:val="nil"/>
                  </w:tcBorders>
                  <w:shd w:val="clear" w:color="auto" w:fill="auto"/>
                  <w:vAlign w:val="center"/>
                </w:tcPr>
                <w:p w14:paraId="6E516FB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w:t>
                  </w:r>
                </w:p>
              </w:tc>
              <w:tc>
                <w:tcPr>
                  <w:tcW w:w="643" w:type="pct"/>
                  <w:tcBorders>
                    <w:tl2br w:val="nil"/>
                    <w:tr2bl w:val="nil"/>
                  </w:tcBorders>
                  <w:shd w:val="clear" w:color="auto" w:fill="auto"/>
                  <w:vAlign w:val="center"/>
                </w:tcPr>
                <w:p w14:paraId="7AEA442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厂界外20m处上风向设参照点</w:t>
                  </w:r>
                  <w:r>
                    <w:rPr>
                      <w:rFonts w:hint="eastAsia"/>
                      <w:color w:val="auto"/>
                      <w:spacing w:val="0"/>
                      <w:position w:val="0"/>
                      <w:sz w:val="21"/>
                      <w:szCs w:val="21"/>
                      <w:lang w:eastAsia="zh-CN" w:bidi="zh-CN"/>
                    </w:rPr>
                    <w:t>，</w:t>
                  </w:r>
                  <w:r>
                    <w:rPr>
                      <w:rFonts w:hint="eastAsia"/>
                      <w:color w:val="auto"/>
                      <w:spacing w:val="0"/>
                      <w:position w:val="0"/>
                      <w:sz w:val="21"/>
                      <w:szCs w:val="21"/>
                      <w:lang w:bidi="zh-CN"/>
                    </w:rPr>
                    <w:t>下风向设监控点</w:t>
                  </w:r>
                </w:p>
              </w:tc>
              <w:tc>
                <w:tcPr>
                  <w:tcW w:w="959" w:type="pct"/>
                  <w:gridSpan w:val="2"/>
                  <w:tcBorders>
                    <w:tl2br w:val="nil"/>
                    <w:tr2bl w:val="nil"/>
                  </w:tcBorders>
                  <w:shd w:val="clear" w:color="auto" w:fill="auto"/>
                  <w:vAlign w:val="center"/>
                </w:tcPr>
                <w:p w14:paraId="2C3DEEC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bidi="zh-CN"/>
                    </w:rPr>
                    <w:t>4</w:t>
                  </w:r>
                </w:p>
                <w:p w14:paraId="48301AA3">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val="0"/>
                      <w:color w:val="auto"/>
                      <w:spacing w:val="0"/>
                      <w:position w:val="0"/>
                      <w:sz w:val="21"/>
                      <w:szCs w:val="21"/>
                    </w:rPr>
                  </w:pPr>
                  <w:r>
                    <w:rPr>
                      <w:rFonts w:hint="eastAsia" w:ascii="Times New Roman" w:hAnsi="Times New Roman" w:eastAsia="宋体" w:cs="Times New Roman"/>
                      <w:b w:val="0"/>
                      <w:color w:val="auto"/>
                      <w:spacing w:val="0"/>
                      <w:kern w:val="2"/>
                      <w:position w:val="0"/>
                      <w:sz w:val="21"/>
                      <w:szCs w:val="21"/>
                      <w:lang w:val="en-US" w:eastAsia="zh-CN" w:bidi="zh-CN"/>
                    </w:rPr>
                    <w:t>mg/m</w:t>
                  </w:r>
                  <w:r>
                    <w:rPr>
                      <w:rFonts w:hint="eastAsia" w:ascii="Times New Roman" w:hAnsi="Times New Roman" w:eastAsia="宋体" w:cs="Times New Roman"/>
                      <w:b w:val="0"/>
                      <w:color w:val="auto"/>
                      <w:spacing w:val="0"/>
                      <w:kern w:val="2"/>
                      <w:position w:val="0"/>
                      <w:sz w:val="21"/>
                      <w:szCs w:val="21"/>
                      <w:vertAlign w:val="superscript"/>
                      <w:lang w:val="en-US" w:eastAsia="zh-CN" w:bidi="zh-CN"/>
                    </w:rPr>
                    <w:t>3</w:t>
                  </w:r>
                </w:p>
              </w:tc>
              <w:tc>
                <w:tcPr>
                  <w:tcW w:w="1074" w:type="pct"/>
                  <w:tcBorders>
                    <w:tl2br w:val="nil"/>
                    <w:tr2bl w:val="nil"/>
                  </w:tcBorders>
                  <w:shd w:val="clear" w:color="auto" w:fill="auto"/>
                  <w:vAlign w:val="center"/>
                </w:tcPr>
                <w:p w14:paraId="1989B4D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s="宋体"/>
                      <w:color w:val="auto"/>
                      <w:spacing w:val="0"/>
                      <w:position w:val="0"/>
                      <w:sz w:val="21"/>
                      <w:szCs w:val="21"/>
                      <w:lang w:val="en-US" w:eastAsia="zh-CN"/>
                    </w:rPr>
                    <w:t>《合成树脂工业污染物排放标准》（GB- 31572-2015）及修改单</w:t>
                  </w:r>
                </w:p>
              </w:tc>
            </w:tr>
            <w:tr w14:paraId="73D9D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0" w:hRule="atLeast"/>
                <w:jc w:val="center"/>
              </w:trPr>
              <w:tc>
                <w:tcPr>
                  <w:tcW w:w="448" w:type="pct"/>
                  <w:vMerge w:val="continue"/>
                  <w:tcBorders>
                    <w:tl2br w:val="nil"/>
                    <w:tr2bl w:val="nil"/>
                  </w:tcBorders>
                  <w:shd w:val="clear" w:color="auto" w:fill="auto"/>
                  <w:vAlign w:val="center"/>
                </w:tcPr>
                <w:p w14:paraId="67F9497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p>
              </w:tc>
              <w:tc>
                <w:tcPr>
                  <w:tcW w:w="540" w:type="pct"/>
                  <w:vMerge w:val="continue"/>
                  <w:tcBorders>
                    <w:tl2br w:val="nil"/>
                    <w:tr2bl w:val="nil"/>
                  </w:tcBorders>
                  <w:shd w:val="clear" w:color="auto" w:fill="auto"/>
                  <w:vAlign w:val="center"/>
                </w:tcPr>
                <w:p w14:paraId="379C99E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p>
              </w:tc>
              <w:tc>
                <w:tcPr>
                  <w:tcW w:w="574" w:type="pct"/>
                  <w:vMerge w:val="restart"/>
                  <w:tcBorders>
                    <w:tl2br w:val="nil"/>
                    <w:tr2bl w:val="nil"/>
                  </w:tcBorders>
                  <w:shd w:val="clear" w:color="auto" w:fill="auto"/>
                  <w:vAlign w:val="center"/>
                </w:tcPr>
                <w:p w14:paraId="24C3D7E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w:t>
                  </w:r>
                </w:p>
              </w:tc>
              <w:tc>
                <w:tcPr>
                  <w:tcW w:w="366" w:type="pct"/>
                  <w:vMerge w:val="restart"/>
                  <w:tcBorders>
                    <w:tl2br w:val="nil"/>
                    <w:tr2bl w:val="nil"/>
                  </w:tcBorders>
                  <w:shd w:val="clear" w:color="auto" w:fill="auto"/>
                  <w:vAlign w:val="center"/>
                </w:tcPr>
                <w:p w14:paraId="42898DC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15m</w:t>
                  </w:r>
                </w:p>
              </w:tc>
              <w:tc>
                <w:tcPr>
                  <w:tcW w:w="391" w:type="pct"/>
                  <w:vMerge w:val="restart"/>
                  <w:tcBorders>
                    <w:tl2br w:val="nil"/>
                    <w:tr2bl w:val="nil"/>
                  </w:tcBorders>
                  <w:shd w:val="clear" w:color="auto" w:fill="auto"/>
                  <w:vAlign w:val="center"/>
                </w:tcPr>
                <w:p w14:paraId="554090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w:t>
                  </w:r>
                </w:p>
              </w:tc>
              <w:tc>
                <w:tcPr>
                  <w:tcW w:w="643" w:type="pct"/>
                  <w:vMerge w:val="restart"/>
                  <w:tcBorders>
                    <w:tl2br w:val="nil"/>
                    <w:tr2bl w:val="nil"/>
                  </w:tcBorders>
                  <w:shd w:val="clear" w:color="auto" w:fill="auto"/>
                  <w:vAlign w:val="center"/>
                </w:tcPr>
                <w:p w14:paraId="3E1D3BD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olor w:val="auto"/>
                      <w:spacing w:val="0"/>
                      <w:position w:val="0"/>
                      <w:sz w:val="21"/>
                      <w:szCs w:val="21"/>
                      <w:lang w:val="en-US" w:bidi="zh-CN"/>
                    </w:rPr>
                  </w:pPr>
                  <w:r>
                    <w:rPr>
                      <w:rFonts w:hint="eastAsia" w:ascii="Times New Roman" w:hAnsi="Times New Roman" w:cs="Times New Roman"/>
                      <w:b w:val="0"/>
                      <w:bCs/>
                      <w:color w:val="auto"/>
                      <w:spacing w:val="0"/>
                      <w:position w:val="0"/>
                      <w:sz w:val="21"/>
                      <w:szCs w:val="21"/>
                      <w:lang w:val="en-US" w:bidi="zh-CN"/>
                    </w:rPr>
                    <w:t>在厂房门窗、通风口、或其他排放口外1m，离地1.5m以上位置监测</w:t>
                  </w:r>
                </w:p>
              </w:tc>
              <w:tc>
                <w:tcPr>
                  <w:tcW w:w="479" w:type="pct"/>
                  <w:tcBorders>
                    <w:tl2br w:val="nil"/>
                    <w:tr2bl w:val="nil"/>
                  </w:tcBorders>
                  <w:shd w:val="clear" w:color="auto" w:fill="auto"/>
                  <w:vAlign w:val="center"/>
                </w:tcPr>
                <w:p w14:paraId="7EE712BA">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bCs/>
                      <w:color w:val="auto"/>
                      <w:spacing w:val="0"/>
                      <w:position w:val="0"/>
                      <w:sz w:val="21"/>
                      <w:szCs w:val="21"/>
                      <w:lang w:bidi="zh-CN"/>
                    </w:rPr>
                  </w:pPr>
                  <w:r>
                    <w:rPr>
                      <w:rFonts w:hint="eastAsia" w:ascii="Times New Roman" w:hAnsi="Times New Roman" w:cs="Times New Roman"/>
                      <w:b w:val="0"/>
                      <w:bCs/>
                      <w:color w:val="auto"/>
                      <w:spacing w:val="0"/>
                      <w:position w:val="0"/>
                      <w:sz w:val="21"/>
                      <w:szCs w:val="21"/>
                      <w:lang w:val="en-US" w:bidi="zh-CN"/>
                    </w:rPr>
                    <w:t>6</w:t>
                  </w:r>
                  <w:r>
                    <w:rPr>
                      <w:rFonts w:hint="default" w:ascii="Times New Roman" w:hAnsi="Times New Roman" w:cs="Times New Roman"/>
                      <w:b w:val="0"/>
                      <w:bCs/>
                      <w:color w:val="auto"/>
                      <w:spacing w:val="0"/>
                      <w:position w:val="0"/>
                      <w:sz w:val="21"/>
                      <w:szCs w:val="21"/>
                      <w:lang w:bidi="zh-CN"/>
                    </w:rPr>
                    <w:t>.0</w:t>
                  </w:r>
                </w:p>
                <w:p w14:paraId="420F917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lang w:val="en-US"/>
                    </w:rPr>
                  </w:pPr>
                  <w:r>
                    <w:rPr>
                      <w:rFonts w:hint="default" w:ascii="Times New Roman" w:hAnsi="Times New Roman" w:cs="Times New Roman"/>
                      <w:b w:val="0"/>
                      <w:bCs/>
                      <w:color w:val="auto"/>
                      <w:spacing w:val="0"/>
                      <w:position w:val="0"/>
                      <w:sz w:val="21"/>
                      <w:szCs w:val="21"/>
                      <w:lang w:bidi="zh-CN"/>
                    </w:rPr>
                    <w:t>mg/m</w:t>
                  </w:r>
                  <w:r>
                    <w:rPr>
                      <w:rFonts w:hint="default" w:ascii="Times New Roman" w:hAnsi="Times New Roman" w:cs="Times New Roman"/>
                      <w:b w:val="0"/>
                      <w:bCs/>
                      <w:color w:val="auto"/>
                      <w:spacing w:val="0"/>
                      <w:position w:val="0"/>
                      <w:sz w:val="21"/>
                      <w:szCs w:val="21"/>
                      <w:vertAlign w:val="superscript"/>
                      <w:lang w:bidi="zh-CN"/>
                    </w:rPr>
                    <w:t>3</w:t>
                  </w:r>
                </w:p>
              </w:tc>
              <w:tc>
                <w:tcPr>
                  <w:tcW w:w="480" w:type="pct"/>
                  <w:tcBorders>
                    <w:tl2br w:val="nil"/>
                    <w:tr2bl w:val="nil"/>
                  </w:tcBorders>
                  <w:shd w:val="clear" w:color="auto" w:fill="auto"/>
                  <w:vAlign w:val="center"/>
                </w:tcPr>
                <w:p w14:paraId="36BD705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cs="Times New Roman"/>
                      <w:b w:val="0"/>
                      <w:bCs/>
                      <w:color w:val="auto"/>
                      <w:spacing w:val="0"/>
                      <w:position w:val="0"/>
                      <w:sz w:val="21"/>
                      <w:szCs w:val="21"/>
                      <w:lang w:val="en-US" w:bidi="zh-CN"/>
                    </w:rPr>
                  </w:pPr>
                  <w:r>
                    <w:rPr>
                      <w:rFonts w:hint="eastAsia" w:ascii="Times New Roman" w:hAnsi="Times New Roman" w:cs="Times New Roman"/>
                      <w:b w:val="0"/>
                      <w:bCs/>
                      <w:color w:val="auto"/>
                      <w:spacing w:val="0"/>
                      <w:position w:val="0"/>
                      <w:sz w:val="21"/>
                      <w:szCs w:val="21"/>
                      <w:lang w:val="en-US" w:bidi="zh-CN"/>
                    </w:rPr>
                    <w:t>监控点处1h平均浓度值</w:t>
                  </w:r>
                </w:p>
              </w:tc>
              <w:tc>
                <w:tcPr>
                  <w:tcW w:w="1074" w:type="pct"/>
                  <w:vMerge w:val="restart"/>
                  <w:tcBorders>
                    <w:tl2br w:val="nil"/>
                    <w:tr2bl w:val="nil"/>
                  </w:tcBorders>
                  <w:shd w:val="clear" w:color="auto" w:fill="auto"/>
                  <w:vAlign w:val="center"/>
                </w:tcPr>
                <w:p w14:paraId="217C908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color w:val="auto"/>
                      <w:spacing w:val="0"/>
                      <w:position w:val="0"/>
                      <w:sz w:val="21"/>
                      <w:szCs w:val="21"/>
                      <w:lang w:bidi="zh-CN"/>
                    </w:rPr>
                  </w:pPr>
                  <w:r>
                    <w:rPr>
                      <w:rFonts w:hint="eastAsia"/>
                      <w:color w:val="auto"/>
                      <w:spacing w:val="0"/>
                      <w:position w:val="0"/>
                      <w:sz w:val="21"/>
                      <w:szCs w:val="21"/>
                      <w:lang w:bidi="zh-CN"/>
                    </w:rPr>
                    <w:t>《</w:t>
                  </w:r>
                  <w:r>
                    <w:rPr>
                      <w:rFonts w:hint="eastAsia"/>
                      <w:color w:val="auto"/>
                      <w:spacing w:val="0"/>
                      <w:position w:val="0"/>
                      <w:sz w:val="21"/>
                      <w:szCs w:val="21"/>
                    </w:rPr>
                    <w:fldChar w:fldCharType="begin"/>
                  </w:r>
                  <w:r>
                    <w:rPr>
                      <w:color w:val="auto"/>
                      <w:spacing w:val="0"/>
                      <w:position w:val="0"/>
                      <w:sz w:val="21"/>
                      <w:szCs w:val="21"/>
                    </w:rPr>
                    <w:instrText xml:space="preserve"> HYPERLINK "https://www.mee.gov.cn/ywgz/fgbz/bz/bzwb/dqhjbh/dqgdwrywrwpfbz/201906/W020190606587693632696.pdf" </w:instrText>
                  </w:r>
                  <w:r>
                    <w:rPr>
                      <w:rFonts w:hint="eastAsia"/>
                      <w:color w:val="auto"/>
                      <w:spacing w:val="0"/>
                      <w:position w:val="0"/>
                      <w:sz w:val="21"/>
                      <w:szCs w:val="21"/>
                    </w:rPr>
                    <w:fldChar w:fldCharType="separate"/>
                  </w:r>
                  <w:r>
                    <w:rPr>
                      <w:rFonts w:hint="eastAsia"/>
                      <w:color w:val="auto"/>
                      <w:spacing w:val="0"/>
                      <w:position w:val="0"/>
                      <w:sz w:val="21"/>
                      <w:szCs w:val="21"/>
                      <w:lang w:bidi="zh-CN"/>
                    </w:rPr>
                    <w:t>挥发性有机物无组织排放控制标准》（GB37822—2019）</w:t>
                  </w:r>
                  <w:r>
                    <w:rPr>
                      <w:rFonts w:hint="eastAsia"/>
                      <w:color w:val="auto"/>
                      <w:spacing w:val="0"/>
                      <w:position w:val="0"/>
                      <w:sz w:val="21"/>
                      <w:szCs w:val="21"/>
                      <w:lang w:bidi="zh-CN"/>
                    </w:rPr>
                    <w:fldChar w:fldCharType="end"/>
                  </w:r>
                </w:p>
              </w:tc>
            </w:tr>
            <w:tr w14:paraId="4B7560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0" w:hRule="atLeast"/>
                <w:jc w:val="center"/>
              </w:trPr>
              <w:tc>
                <w:tcPr>
                  <w:tcW w:w="448" w:type="pct"/>
                  <w:vMerge w:val="continue"/>
                  <w:tcBorders>
                    <w:tl2br w:val="nil"/>
                    <w:tr2bl w:val="nil"/>
                  </w:tcBorders>
                  <w:shd w:val="clear" w:color="auto" w:fill="auto"/>
                  <w:vAlign w:val="center"/>
                </w:tcPr>
                <w:p w14:paraId="54CB858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540" w:type="pct"/>
                  <w:vMerge w:val="continue"/>
                  <w:tcBorders>
                    <w:tl2br w:val="nil"/>
                    <w:tr2bl w:val="nil"/>
                  </w:tcBorders>
                  <w:shd w:val="clear" w:color="auto" w:fill="auto"/>
                  <w:vAlign w:val="center"/>
                </w:tcPr>
                <w:p w14:paraId="073B40A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574" w:type="pct"/>
                  <w:vMerge w:val="continue"/>
                  <w:tcBorders>
                    <w:tl2br w:val="nil"/>
                    <w:tr2bl w:val="nil"/>
                  </w:tcBorders>
                  <w:shd w:val="clear" w:color="auto" w:fill="auto"/>
                  <w:vAlign w:val="center"/>
                </w:tcPr>
                <w:p w14:paraId="7E9327C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366" w:type="pct"/>
                  <w:vMerge w:val="continue"/>
                  <w:tcBorders>
                    <w:tl2br w:val="nil"/>
                    <w:tr2bl w:val="nil"/>
                  </w:tcBorders>
                  <w:shd w:val="clear" w:color="auto" w:fill="auto"/>
                  <w:vAlign w:val="center"/>
                </w:tcPr>
                <w:p w14:paraId="401A444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391" w:type="pct"/>
                  <w:vMerge w:val="continue"/>
                  <w:tcBorders>
                    <w:tl2br w:val="nil"/>
                    <w:tr2bl w:val="nil"/>
                  </w:tcBorders>
                  <w:shd w:val="clear" w:color="auto" w:fill="auto"/>
                  <w:vAlign w:val="center"/>
                </w:tcPr>
                <w:p w14:paraId="6B04E15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643" w:type="pct"/>
                  <w:vMerge w:val="continue"/>
                  <w:tcBorders>
                    <w:tl2br w:val="nil"/>
                    <w:tr2bl w:val="nil"/>
                  </w:tcBorders>
                  <w:shd w:val="clear" w:color="auto" w:fill="auto"/>
                  <w:vAlign w:val="center"/>
                </w:tcPr>
                <w:p w14:paraId="36BEECA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c>
                <w:tcPr>
                  <w:tcW w:w="479" w:type="pct"/>
                  <w:tcBorders>
                    <w:tl2br w:val="nil"/>
                    <w:tr2bl w:val="nil"/>
                  </w:tcBorders>
                  <w:shd w:val="clear" w:color="auto" w:fill="auto"/>
                  <w:vAlign w:val="center"/>
                </w:tcPr>
                <w:p w14:paraId="5ACD6792">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val="0"/>
                      <w:bCs/>
                      <w:color w:val="auto"/>
                      <w:spacing w:val="0"/>
                      <w:position w:val="0"/>
                      <w:sz w:val="21"/>
                      <w:szCs w:val="21"/>
                      <w:lang w:bidi="zh-CN"/>
                    </w:rPr>
                  </w:pPr>
                  <w:r>
                    <w:rPr>
                      <w:rFonts w:hint="eastAsia" w:ascii="Times New Roman" w:hAnsi="Times New Roman" w:cs="Times New Roman"/>
                      <w:b w:val="0"/>
                      <w:bCs/>
                      <w:color w:val="auto"/>
                      <w:spacing w:val="0"/>
                      <w:position w:val="0"/>
                      <w:sz w:val="21"/>
                      <w:szCs w:val="21"/>
                      <w:lang w:val="en-US" w:bidi="zh-CN"/>
                    </w:rPr>
                    <w:t>2</w:t>
                  </w:r>
                  <w:r>
                    <w:rPr>
                      <w:rFonts w:hint="default" w:ascii="Times New Roman" w:hAnsi="Times New Roman" w:cs="Times New Roman"/>
                      <w:b w:val="0"/>
                      <w:bCs/>
                      <w:color w:val="auto"/>
                      <w:spacing w:val="0"/>
                      <w:position w:val="0"/>
                      <w:sz w:val="21"/>
                      <w:szCs w:val="21"/>
                      <w:lang w:bidi="zh-CN"/>
                    </w:rPr>
                    <w:t>0</w:t>
                  </w:r>
                </w:p>
                <w:p w14:paraId="615980A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r>
                    <w:rPr>
                      <w:rFonts w:hint="default" w:ascii="Times New Roman" w:hAnsi="Times New Roman" w:cs="Times New Roman"/>
                      <w:b w:val="0"/>
                      <w:bCs/>
                      <w:color w:val="auto"/>
                      <w:spacing w:val="0"/>
                      <w:position w:val="0"/>
                      <w:sz w:val="21"/>
                      <w:szCs w:val="21"/>
                      <w:lang w:bidi="zh-CN"/>
                    </w:rPr>
                    <w:t>mg/m</w:t>
                  </w:r>
                  <w:r>
                    <w:rPr>
                      <w:rFonts w:hint="default" w:ascii="Times New Roman" w:hAnsi="Times New Roman" w:cs="Times New Roman"/>
                      <w:b w:val="0"/>
                      <w:bCs/>
                      <w:color w:val="auto"/>
                      <w:spacing w:val="0"/>
                      <w:position w:val="0"/>
                      <w:sz w:val="21"/>
                      <w:szCs w:val="21"/>
                      <w:vertAlign w:val="superscript"/>
                      <w:lang w:bidi="zh-CN"/>
                    </w:rPr>
                    <w:t>3</w:t>
                  </w:r>
                </w:p>
              </w:tc>
              <w:tc>
                <w:tcPr>
                  <w:tcW w:w="480" w:type="pct"/>
                  <w:tcBorders>
                    <w:tl2br w:val="nil"/>
                    <w:tr2bl w:val="nil"/>
                  </w:tcBorders>
                  <w:shd w:val="clear" w:color="auto" w:fill="auto"/>
                  <w:vAlign w:val="center"/>
                </w:tcPr>
                <w:p w14:paraId="39FC592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r>
                    <w:rPr>
                      <w:rFonts w:hint="eastAsia" w:ascii="Times New Roman" w:hAnsi="Times New Roman" w:cs="Times New Roman"/>
                      <w:b w:val="0"/>
                      <w:bCs/>
                      <w:color w:val="auto"/>
                      <w:spacing w:val="0"/>
                      <w:position w:val="0"/>
                      <w:sz w:val="21"/>
                      <w:szCs w:val="21"/>
                      <w:lang w:val="en-US" w:bidi="zh-CN"/>
                    </w:rPr>
                    <w:t>监控点处任意一次浓度值</w:t>
                  </w:r>
                </w:p>
              </w:tc>
              <w:tc>
                <w:tcPr>
                  <w:tcW w:w="1074" w:type="pct"/>
                  <w:vMerge w:val="continue"/>
                  <w:tcBorders>
                    <w:tl2br w:val="nil"/>
                    <w:tr2bl w:val="nil"/>
                  </w:tcBorders>
                  <w:shd w:val="clear" w:color="auto" w:fill="auto"/>
                  <w:vAlign w:val="center"/>
                </w:tcPr>
                <w:p w14:paraId="6955374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pPr>
                </w:p>
              </w:tc>
            </w:tr>
            <w:tr w14:paraId="24FC1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5" w:hRule="atLeast"/>
                <w:jc w:val="center"/>
              </w:trPr>
              <w:tc>
                <w:tcPr>
                  <w:tcW w:w="448" w:type="pct"/>
                  <w:vMerge w:val="continue"/>
                  <w:tcBorders>
                    <w:tl2br w:val="nil"/>
                    <w:tr2bl w:val="nil"/>
                  </w:tcBorders>
                  <w:shd w:val="clear" w:color="auto" w:fill="auto"/>
                  <w:vAlign w:val="center"/>
                </w:tcPr>
                <w:p w14:paraId="6AA2995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pPr>
                </w:p>
              </w:tc>
              <w:tc>
                <w:tcPr>
                  <w:tcW w:w="540" w:type="pct"/>
                  <w:tcBorders>
                    <w:tl2br w:val="nil"/>
                    <w:tr2bl w:val="nil"/>
                  </w:tcBorders>
                  <w:shd w:val="clear" w:color="auto" w:fill="auto"/>
                  <w:vAlign w:val="center"/>
                </w:tcPr>
                <w:p w14:paraId="59E0CBD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bidi="zh-CN"/>
                    </w:rPr>
                    <w:t>氯化氢</w:t>
                  </w:r>
                </w:p>
              </w:tc>
              <w:tc>
                <w:tcPr>
                  <w:tcW w:w="938" w:type="dxa"/>
                  <w:tcBorders>
                    <w:tl2br w:val="nil"/>
                    <w:tr2bl w:val="nil"/>
                  </w:tcBorders>
                  <w:shd w:val="clear" w:color="auto" w:fill="auto"/>
                  <w:vAlign w:val="center"/>
                </w:tcPr>
                <w:p w14:paraId="2417447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val="en-US" w:bidi="zh-CN"/>
                    </w:rPr>
                    <w:t>2</w:t>
                  </w:r>
                  <w:r>
                    <w:rPr>
                      <w:rFonts w:hint="eastAsia"/>
                      <w:color w:val="auto"/>
                      <w:spacing w:val="0"/>
                      <w:position w:val="0"/>
                      <w:sz w:val="21"/>
                      <w:szCs w:val="21"/>
                      <w:lang w:bidi="zh-CN"/>
                    </w:rPr>
                    <w:t>0</w:t>
                  </w:r>
                </w:p>
                <w:p w14:paraId="3CF77D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mg/m</w:t>
                  </w:r>
                  <w:r>
                    <w:rPr>
                      <w:rFonts w:hint="eastAsia"/>
                      <w:color w:val="auto"/>
                      <w:spacing w:val="0"/>
                      <w:position w:val="0"/>
                      <w:sz w:val="21"/>
                      <w:szCs w:val="21"/>
                      <w:vertAlign w:val="superscript"/>
                      <w:lang w:bidi="zh-CN"/>
                    </w:rPr>
                    <w:t>3</w:t>
                  </w:r>
                </w:p>
              </w:tc>
              <w:tc>
                <w:tcPr>
                  <w:tcW w:w="598" w:type="dxa"/>
                  <w:tcBorders>
                    <w:tl2br w:val="nil"/>
                    <w:tr2bl w:val="nil"/>
                  </w:tcBorders>
                  <w:shd w:val="clear" w:color="auto" w:fill="auto"/>
                  <w:vAlign w:val="center"/>
                </w:tcPr>
                <w:p w14:paraId="2FDBE8F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15m</w:t>
                  </w:r>
                </w:p>
              </w:tc>
              <w:tc>
                <w:tcPr>
                  <w:tcW w:w="639" w:type="dxa"/>
                  <w:tcBorders>
                    <w:tl2br w:val="nil"/>
                    <w:tr2bl w:val="nil"/>
                  </w:tcBorders>
                  <w:shd w:val="clear" w:color="auto" w:fill="auto"/>
                  <w:vAlign w:val="center"/>
                </w:tcPr>
                <w:p w14:paraId="662A20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w:t>
                  </w:r>
                </w:p>
              </w:tc>
              <w:tc>
                <w:tcPr>
                  <w:tcW w:w="1051" w:type="dxa"/>
                  <w:tcBorders>
                    <w:tl2br w:val="nil"/>
                    <w:tr2bl w:val="nil"/>
                  </w:tcBorders>
                  <w:shd w:val="clear" w:color="auto" w:fill="auto"/>
                  <w:vAlign w:val="center"/>
                </w:tcPr>
                <w:p w14:paraId="6340A39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厂界外20m处上风向设参照点</w:t>
                  </w:r>
                  <w:r>
                    <w:rPr>
                      <w:rFonts w:hint="eastAsia"/>
                      <w:color w:val="auto"/>
                      <w:spacing w:val="0"/>
                      <w:position w:val="0"/>
                      <w:sz w:val="21"/>
                      <w:szCs w:val="21"/>
                      <w:lang w:eastAsia="zh-CN" w:bidi="zh-CN"/>
                    </w:rPr>
                    <w:t>，</w:t>
                  </w:r>
                  <w:r>
                    <w:rPr>
                      <w:rFonts w:hint="eastAsia"/>
                      <w:color w:val="auto"/>
                      <w:spacing w:val="0"/>
                      <w:position w:val="0"/>
                      <w:sz w:val="21"/>
                      <w:szCs w:val="21"/>
                      <w:lang w:bidi="zh-CN"/>
                    </w:rPr>
                    <w:t>下风向设监控点</w:t>
                  </w:r>
                </w:p>
              </w:tc>
              <w:tc>
                <w:tcPr>
                  <w:tcW w:w="959" w:type="pct"/>
                  <w:gridSpan w:val="2"/>
                  <w:tcBorders>
                    <w:tl2br w:val="nil"/>
                    <w:tr2bl w:val="nil"/>
                  </w:tcBorders>
                  <w:shd w:val="clear" w:color="auto" w:fill="auto"/>
                  <w:vAlign w:val="center"/>
                </w:tcPr>
                <w:p w14:paraId="40271EC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pacing w:val="0"/>
                      <w:position w:val="0"/>
                      <w:sz w:val="21"/>
                      <w:szCs w:val="21"/>
                      <w:lang w:val="en-US" w:bidi="zh-CN"/>
                    </w:rPr>
                  </w:pPr>
                  <w:r>
                    <w:rPr>
                      <w:rFonts w:hint="eastAsia"/>
                      <w:color w:val="auto"/>
                      <w:spacing w:val="0"/>
                      <w:position w:val="0"/>
                      <w:sz w:val="21"/>
                      <w:szCs w:val="21"/>
                      <w:lang w:val="en-US" w:bidi="zh-CN"/>
                    </w:rPr>
                    <w:t>0.2</w:t>
                  </w:r>
                </w:p>
                <w:p w14:paraId="1D452B4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olor w:val="auto"/>
                      <w:spacing w:val="0"/>
                      <w:position w:val="0"/>
                      <w:sz w:val="21"/>
                      <w:szCs w:val="21"/>
                      <w:lang w:bidi="zh-CN"/>
                    </w:rPr>
                  </w:pPr>
                  <w:r>
                    <w:rPr>
                      <w:rFonts w:hint="eastAsia"/>
                      <w:color w:val="auto"/>
                      <w:spacing w:val="0"/>
                      <w:position w:val="0"/>
                      <w:sz w:val="21"/>
                      <w:szCs w:val="21"/>
                      <w:lang w:bidi="zh-CN"/>
                    </w:rPr>
                    <w:t>mg/m</w:t>
                  </w:r>
                  <w:r>
                    <w:rPr>
                      <w:rFonts w:hint="eastAsia"/>
                      <w:color w:val="auto"/>
                      <w:spacing w:val="0"/>
                      <w:position w:val="0"/>
                      <w:sz w:val="21"/>
                      <w:szCs w:val="21"/>
                      <w:vertAlign w:val="superscript"/>
                      <w:lang w:bidi="zh-CN"/>
                    </w:rPr>
                    <w:t>3</w:t>
                  </w:r>
                </w:p>
              </w:tc>
              <w:tc>
                <w:tcPr>
                  <w:tcW w:w="1074" w:type="pct"/>
                  <w:tcBorders>
                    <w:tl2br w:val="nil"/>
                    <w:tr2bl w:val="nil"/>
                  </w:tcBorders>
                  <w:shd w:val="clear" w:color="auto" w:fill="auto"/>
                  <w:vAlign w:val="center"/>
                </w:tcPr>
                <w:p w14:paraId="0A4284E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color w:val="auto"/>
                      <w:spacing w:val="0"/>
                      <w:position w:val="0"/>
                      <w:sz w:val="21"/>
                      <w:szCs w:val="21"/>
                      <w:lang w:bidi="zh-CN"/>
                    </w:rPr>
                  </w:pPr>
                  <w:r>
                    <w:rPr>
                      <w:rFonts w:hint="eastAsia" w:cs="宋体"/>
                      <w:color w:val="auto"/>
                      <w:spacing w:val="0"/>
                      <w:position w:val="0"/>
                      <w:sz w:val="21"/>
                      <w:szCs w:val="21"/>
                      <w:lang w:val="en-US" w:eastAsia="zh-CN"/>
                    </w:rPr>
                    <w:t>《合成树脂工业污染物排放标准》（GB- 31572-2015）及修改单</w:t>
                  </w:r>
                </w:p>
              </w:tc>
            </w:tr>
          </w:tbl>
          <w:p w14:paraId="657B161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pacing w:val="0"/>
                <w:position w:val="0"/>
                <w:sz w:val="21"/>
                <w:szCs w:val="21"/>
              </w:rPr>
            </w:pPr>
            <w:r>
              <w:rPr>
                <w:b/>
                <w:bCs/>
                <w:color w:val="auto"/>
                <w:spacing w:val="0"/>
                <w:position w:val="0"/>
                <w:sz w:val="21"/>
                <w:szCs w:val="21"/>
              </w:rPr>
              <w:t>2废水排放标准</w:t>
            </w:r>
          </w:p>
          <w:p w14:paraId="24F50B56">
            <w:pPr>
              <w:pStyle w:val="8"/>
              <w:keepNext w:val="0"/>
              <w:keepLines w:val="0"/>
              <w:pageBreakBefore w:val="0"/>
              <w:widowControl w:val="0"/>
              <w:kinsoku/>
              <w:wordWrap/>
              <w:overflowPunct/>
              <w:topLinePunct w:val="0"/>
              <w:autoSpaceDE/>
              <w:autoSpaceDN/>
              <w:bidi w:val="0"/>
              <w:spacing w:line="360" w:lineRule="auto"/>
              <w:ind w:firstLine="560"/>
              <w:textAlignment w:val="auto"/>
              <w:rPr>
                <w:rFonts w:hint="eastAsia"/>
                <w:color w:val="auto"/>
                <w:spacing w:val="0"/>
                <w:kern w:val="2"/>
                <w:position w:val="0"/>
                <w:sz w:val="21"/>
                <w:szCs w:val="21"/>
              </w:rPr>
            </w:pPr>
            <w:r>
              <w:rPr>
                <w:rFonts w:hint="eastAsia"/>
                <w:color w:val="auto"/>
                <w:spacing w:val="0"/>
                <w:kern w:val="2"/>
                <w:position w:val="0"/>
                <w:sz w:val="21"/>
                <w:szCs w:val="21"/>
              </w:rPr>
              <w:t>本项目</w:t>
            </w:r>
            <w:r>
              <w:rPr>
                <w:rFonts w:hint="eastAsia"/>
                <w:color w:val="auto"/>
                <w:spacing w:val="0"/>
                <w:kern w:val="2"/>
                <w:position w:val="0"/>
                <w:sz w:val="21"/>
                <w:szCs w:val="21"/>
                <w:lang w:val="en-US" w:eastAsia="zh-CN"/>
              </w:rPr>
              <w:t>生产线仅使用循环冷却水，冷却水间接接触产品，因此循环水不含其他物质为清水</w:t>
            </w:r>
            <w:r>
              <w:rPr>
                <w:rFonts w:hint="eastAsia"/>
                <w:color w:val="auto"/>
                <w:spacing w:val="0"/>
                <w:kern w:val="2"/>
                <w:position w:val="0"/>
                <w:sz w:val="21"/>
                <w:szCs w:val="21"/>
              </w:rPr>
              <w:t>，</w:t>
            </w:r>
            <w:r>
              <w:rPr>
                <w:rFonts w:hint="eastAsia"/>
                <w:color w:val="auto"/>
                <w:spacing w:val="0"/>
                <w:kern w:val="2"/>
                <w:position w:val="0"/>
                <w:sz w:val="21"/>
                <w:szCs w:val="21"/>
                <w:lang w:val="en-US" w:eastAsia="zh-CN"/>
              </w:rPr>
              <w:t>职工生活</w:t>
            </w:r>
            <w:r>
              <w:rPr>
                <w:rFonts w:hint="eastAsia"/>
                <w:color w:val="auto"/>
                <w:spacing w:val="0"/>
                <w:kern w:val="2"/>
                <w:position w:val="0"/>
                <w:sz w:val="21"/>
                <w:szCs w:val="21"/>
              </w:rPr>
              <w:t>产生的</w:t>
            </w:r>
            <w:r>
              <w:rPr>
                <w:rFonts w:hint="eastAsia"/>
                <w:color w:val="auto"/>
                <w:spacing w:val="0"/>
                <w:kern w:val="2"/>
                <w:position w:val="0"/>
                <w:sz w:val="21"/>
                <w:szCs w:val="21"/>
                <w:lang w:eastAsia="zh-CN"/>
              </w:rPr>
              <w:t>生活污水</w:t>
            </w:r>
            <w:r>
              <w:rPr>
                <w:rFonts w:hint="eastAsia"/>
                <w:color w:val="auto"/>
                <w:spacing w:val="0"/>
                <w:kern w:val="2"/>
                <w:position w:val="0"/>
                <w:sz w:val="21"/>
                <w:szCs w:val="21"/>
              </w:rPr>
              <w:t>执行</w:t>
            </w:r>
            <w:r>
              <w:rPr>
                <w:rFonts w:hint="eastAsia"/>
                <w:color w:val="auto"/>
                <w:spacing w:val="0"/>
                <w:kern w:val="2"/>
                <w:position w:val="0"/>
                <w:sz w:val="21"/>
                <w:szCs w:val="21"/>
                <w:lang w:val="zh-CN"/>
              </w:rPr>
              <w:t>《污水综合排放标准》（GB8978</w:t>
            </w:r>
            <w:r>
              <w:rPr>
                <w:rFonts w:hint="eastAsia"/>
                <w:color w:val="auto"/>
                <w:spacing w:val="0"/>
                <w:kern w:val="2"/>
                <w:position w:val="0"/>
                <w:sz w:val="21"/>
                <w:szCs w:val="21"/>
              </w:rPr>
              <w:t>-</w:t>
            </w:r>
            <w:r>
              <w:rPr>
                <w:rFonts w:hint="eastAsia"/>
                <w:color w:val="auto"/>
                <w:spacing w:val="0"/>
                <w:kern w:val="2"/>
                <w:position w:val="0"/>
                <w:sz w:val="21"/>
                <w:szCs w:val="21"/>
                <w:lang w:val="zh-CN"/>
              </w:rPr>
              <w:t>1996）中</w:t>
            </w:r>
            <w:r>
              <w:rPr>
                <w:rFonts w:hint="eastAsia"/>
                <w:color w:val="auto"/>
                <w:spacing w:val="0"/>
                <w:kern w:val="2"/>
                <w:position w:val="0"/>
                <w:sz w:val="21"/>
                <w:szCs w:val="21"/>
              </w:rPr>
              <w:t>表4</w:t>
            </w:r>
            <w:r>
              <w:rPr>
                <w:rFonts w:hint="eastAsia"/>
                <w:color w:val="auto"/>
                <w:spacing w:val="0"/>
                <w:kern w:val="2"/>
                <w:position w:val="0"/>
                <w:sz w:val="21"/>
                <w:szCs w:val="21"/>
                <w:lang w:val="zh-CN"/>
              </w:rPr>
              <w:t>三级</w:t>
            </w:r>
            <w:r>
              <w:rPr>
                <w:rFonts w:hint="eastAsia"/>
                <w:color w:val="auto"/>
                <w:spacing w:val="0"/>
                <w:kern w:val="2"/>
                <w:position w:val="0"/>
                <w:sz w:val="21"/>
                <w:szCs w:val="21"/>
              </w:rPr>
              <w:t>排放</w:t>
            </w:r>
            <w:r>
              <w:rPr>
                <w:rFonts w:hint="eastAsia"/>
                <w:color w:val="auto"/>
                <w:spacing w:val="0"/>
                <w:kern w:val="2"/>
                <w:position w:val="0"/>
                <w:sz w:val="21"/>
                <w:szCs w:val="21"/>
                <w:lang w:val="zh-CN"/>
              </w:rPr>
              <w:t>标准</w:t>
            </w:r>
            <w:r>
              <w:rPr>
                <w:rFonts w:hint="eastAsia"/>
                <w:color w:val="auto"/>
                <w:spacing w:val="0"/>
                <w:kern w:val="2"/>
                <w:position w:val="0"/>
                <w:sz w:val="21"/>
                <w:szCs w:val="21"/>
              </w:rPr>
              <w:t>。</w:t>
            </w:r>
          </w:p>
          <w:p w14:paraId="7F7E8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zh-CN" w:eastAsia="zh-CN" w:bidi="ar-SA"/>
              </w:rPr>
            </w:pPr>
            <w:r>
              <w:rPr>
                <w:rFonts w:hint="eastAsia" w:ascii="Times New Roman" w:hAnsi="Times New Roman" w:eastAsia="宋体" w:cs="Times New Roman"/>
                <w:b/>
                <w:snapToGrid w:val="0"/>
                <w:color w:val="auto"/>
                <w:spacing w:val="0"/>
                <w:kern w:val="0"/>
                <w:position w:val="0"/>
                <w:sz w:val="21"/>
                <w:szCs w:val="21"/>
                <w:lang w:val="zh-CN" w:eastAsia="zh-CN" w:bidi="ar-SA"/>
              </w:rPr>
              <w:t>表</w:t>
            </w:r>
            <w:r>
              <w:rPr>
                <w:rFonts w:hint="eastAsia" w:ascii="Times New Roman" w:hAnsi="Times New Roman" w:eastAsia="宋体" w:cs="Times New Roman"/>
                <w:b/>
                <w:snapToGrid w:val="0"/>
                <w:color w:val="auto"/>
                <w:spacing w:val="0"/>
                <w:kern w:val="0"/>
                <w:position w:val="0"/>
                <w:sz w:val="21"/>
                <w:szCs w:val="21"/>
                <w:lang w:val="en-US" w:eastAsia="zh-CN" w:bidi="ar-SA"/>
              </w:rPr>
              <w:t>3-7</w:t>
            </w:r>
            <w:r>
              <w:rPr>
                <w:rFonts w:hint="eastAsia" w:ascii="Times New Roman" w:hAnsi="Times New Roman" w:eastAsia="宋体" w:cs="Times New Roman"/>
                <w:b/>
                <w:snapToGrid w:val="0"/>
                <w:color w:val="auto"/>
                <w:spacing w:val="0"/>
                <w:kern w:val="0"/>
                <w:position w:val="0"/>
                <w:sz w:val="21"/>
                <w:szCs w:val="21"/>
                <w:lang w:val="zh-CN" w:eastAsia="zh-CN" w:bidi="ar-SA"/>
              </w:rPr>
              <w:t xml:space="preserve">   废水排放标准</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5"/>
              <w:gridCol w:w="1893"/>
              <w:gridCol w:w="1358"/>
              <w:gridCol w:w="1358"/>
              <w:gridCol w:w="2734"/>
            </w:tblGrid>
            <w:tr w14:paraId="279BD5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exact"/>
                <w:jc w:val="center"/>
              </w:trPr>
              <w:tc>
                <w:tcPr>
                  <w:tcW w:w="500" w:type="pct"/>
                  <w:tcBorders>
                    <w:tl2br w:val="nil"/>
                    <w:tr2bl w:val="nil"/>
                  </w:tcBorders>
                  <w:vAlign w:val="center"/>
                </w:tcPr>
                <w:p w14:paraId="65A1FC98">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序号</w:t>
                  </w:r>
                </w:p>
              </w:tc>
              <w:tc>
                <w:tcPr>
                  <w:tcW w:w="1160" w:type="pct"/>
                  <w:tcBorders>
                    <w:tl2br w:val="nil"/>
                    <w:tr2bl w:val="nil"/>
                  </w:tcBorders>
                  <w:vAlign w:val="center"/>
                </w:tcPr>
                <w:p w14:paraId="4197D7A4">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控制项目</w:t>
                  </w:r>
                </w:p>
              </w:tc>
              <w:tc>
                <w:tcPr>
                  <w:tcW w:w="832" w:type="pct"/>
                  <w:tcBorders>
                    <w:tl2br w:val="nil"/>
                    <w:tr2bl w:val="nil"/>
                  </w:tcBorders>
                  <w:vAlign w:val="center"/>
                </w:tcPr>
                <w:p w14:paraId="63CAE9A0">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单位</w:t>
                  </w:r>
                </w:p>
              </w:tc>
              <w:tc>
                <w:tcPr>
                  <w:tcW w:w="832" w:type="pct"/>
                  <w:tcBorders>
                    <w:tl2br w:val="nil"/>
                    <w:tr2bl w:val="nil"/>
                  </w:tcBorders>
                  <w:vAlign w:val="center"/>
                </w:tcPr>
                <w:p w14:paraId="7DB61EFE">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val="en-US" w:bidi="zh-CN"/>
                    </w:rPr>
                    <w:t>三</w:t>
                  </w:r>
                  <w:r>
                    <w:rPr>
                      <w:rFonts w:hint="eastAsia"/>
                      <w:color w:val="auto"/>
                      <w:spacing w:val="0"/>
                      <w:position w:val="0"/>
                      <w:sz w:val="21"/>
                      <w:szCs w:val="21"/>
                      <w:lang w:bidi="zh-CN"/>
                    </w:rPr>
                    <w:t>级</w:t>
                  </w:r>
                </w:p>
              </w:tc>
              <w:tc>
                <w:tcPr>
                  <w:tcW w:w="1674" w:type="pct"/>
                  <w:tcBorders>
                    <w:tl2br w:val="nil"/>
                    <w:tr2bl w:val="nil"/>
                  </w:tcBorders>
                  <w:vAlign w:val="center"/>
                </w:tcPr>
                <w:p w14:paraId="056B1EC0">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备注</w:t>
                  </w:r>
                </w:p>
              </w:tc>
            </w:tr>
            <w:tr w14:paraId="685454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2" w:hRule="exact"/>
                <w:jc w:val="center"/>
              </w:trPr>
              <w:tc>
                <w:tcPr>
                  <w:tcW w:w="500" w:type="pct"/>
                  <w:tcBorders>
                    <w:tl2br w:val="nil"/>
                    <w:tr2bl w:val="nil"/>
                  </w:tcBorders>
                  <w:vAlign w:val="center"/>
                </w:tcPr>
                <w:p w14:paraId="7FEADE13">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1</w:t>
                  </w:r>
                </w:p>
              </w:tc>
              <w:tc>
                <w:tcPr>
                  <w:tcW w:w="1160" w:type="pct"/>
                  <w:tcBorders>
                    <w:tl2br w:val="nil"/>
                    <w:tr2bl w:val="nil"/>
                  </w:tcBorders>
                  <w:vAlign w:val="center"/>
                </w:tcPr>
                <w:p w14:paraId="391AFFCB">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COD</w:t>
                  </w:r>
                </w:p>
              </w:tc>
              <w:tc>
                <w:tcPr>
                  <w:tcW w:w="832" w:type="pct"/>
                  <w:tcBorders>
                    <w:tl2br w:val="nil"/>
                    <w:tr2bl w:val="nil"/>
                  </w:tcBorders>
                  <w:vAlign w:val="center"/>
                </w:tcPr>
                <w:p w14:paraId="4214C936">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mg/</w:t>
                  </w:r>
                  <w:r>
                    <w:rPr>
                      <w:rFonts w:hint="eastAsia"/>
                      <w:color w:val="auto"/>
                      <w:spacing w:val="0"/>
                      <w:position w:val="0"/>
                      <w:sz w:val="21"/>
                      <w:szCs w:val="21"/>
                      <w:lang w:bidi="zh-CN"/>
                    </w:rPr>
                    <w:t>L</w:t>
                  </w:r>
                </w:p>
              </w:tc>
              <w:tc>
                <w:tcPr>
                  <w:tcW w:w="832" w:type="pct"/>
                  <w:tcBorders>
                    <w:tl2br w:val="nil"/>
                    <w:tr2bl w:val="nil"/>
                  </w:tcBorders>
                  <w:vAlign w:val="center"/>
                </w:tcPr>
                <w:p w14:paraId="7AA087A4">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500</w:t>
                  </w:r>
                </w:p>
              </w:tc>
              <w:tc>
                <w:tcPr>
                  <w:tcW w:w="1674" w:type="pct"/>
                  <w:vMerge w:val="restart"/>
                  <w:tcBorders>
                    <w:tl2br w:val="nil"/>
                    <w:tr2bl w:val="nil"/>
                  </w:tcBorders>
                  <w:vAlign w:val="center"/>
                </w:tcPr>
                <w:p w14:paraId="0EFA28F5">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bidi="zh-CN"/>
                    </w:rPr>
                    <w:t>《污水综合排放标准》（GB8978-1996）中表4三级排放标准</w:t>
                  </w:r>
                </w:p>
              </w:tc>
            </w:tr>
            <w:tr w14:paraId="77B24C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7" w:hRule="exact"/>
                <w:jc w:val="center"/>
              </w:trPr>
              <w:tc>
                <w:tcPr>
                  <w:tcW w:w="500" w:type="pct"/>
                  <w:tcBorders>
                    <w:tl2br w:val="nil"/>
                    <w:tr2bl w:val="nil"/>
                  </w:tcBorders>
                  <w:vAlign w:val="center"/>
                </w:tcPr>
                <w:p w14:paraId="236E27DF">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2</w:t>
                  </w:r>
                </w:p>
              </w:tc>
              <w:tc>
                <w:tcPr>
                  <w:tcW w:w="1160" w:type="pct"/>
                  <w:tcBorders>
                    <w:tl2br w:val="nil"/>
                    <w:tr2bl w:val="nil"/>
                  </w:tcBorders>
                  <w:vAlign w:val="center"/>
                </w:tcPr>
                <w:p w14:paraId="50DE147F">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BOD</w:t>
                  </w:r>
                  <w:r>
                    <w:rPr>
                      <w:rFonts w:hint="eastAsia"/>
                      <w:color w:val="auto"/>
                      <w:spacing w:val="0"/>
                      <w:position w:val="0"/>
                      <w:sz w:val="21"/>
                      <w:szCs w:val="21"/>
                      <w:vertAlign w:val="subscript"/>
                      <w:lang w:bidi="zh-CN"/>
                    </w:rPr>
                    <w:t>5</w:t>
                  </w:r>
                </w:p>
              </w:tc>
              <w:tc>
                <w:tcPr>
                  <w:tcW w:w="832" w:type="pct"/>
                  <w:tcBorders>
                    <w:tl2br w:val="nil"/>
                    <w:tr2bl w:val="nil"/>
                  </w:tcBorders>
                  <w:vAlign w:val="center"/>
                </w:tcPr>
                <w:p w14:paraId="67DF0BF2">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mg/</w:t>
                  </w:r>
                  <w:r>
                    <w:rPr>
                      <w:rFonts w:hint="eastAsia"/>
                      <w:color w:val="auto"/>
                      <w:spacing w:val="0"/>
                      <w:position w:val="0"/>
                      <w:sz w:val="21"/>
                      <w:szCs w:val="21"/>
                      <w:lang w:bidi="zh-CN"/>
                    </w:rPr>
                    <w:t>L</w:t>
                  </w:r>
                </w:p>
              </w:tc>
              <w:tc>
                <w:tcPr>
                  <w:tcW w:w="832" w:type="pct"/>
                  <w:tcBorders>
                    <w:tl2br w:val="nil"/>
                    <w:tr2bl w:val="nil"/>
                  </w:tcBorders>
                  <w:vAlign w:val="center"/>
                </w:tcPr>
                <w:p w14:paraId="0AE67F12">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300</w:t>
                  </w:r>
                </w:p>
              </w:tc>
              <w:tc>
                <w:tcPr>
                  <w:tcW w:w="1674" w:type="pct"/>
                  <w:vMerge w:val="continue"/>
                  <w:tcBorders>
                    <w:tl2br w:val="nil"/>
                    <w:tr2bl w:val="nil"/>
                  </w:tcBorders>
                  <w:vAlign w:val="center"/>
                </w:tcPr>
                <w:p w14:paraId="098BB159">
                  <w:pPr>
                    <w:autoSpaceDE w:val="0"/>
                    <w:autoSpaceDN w:val="0"/>
                    <w:spacing w:line="240" w:lineRule="auto"/>
                    <w:ind w:firstLine="0" w:firstLineChars="0"/>
                    <w:jc w:val="center"/>
                    <w:rPr>
                      <w:color w:val="auto"/>
                      <w:spacing w:val="0"/>
                      <w:position w:val="0"/>
                      <w:sz w:val="21"/>
                      <w:szCs w:val="21"/>
                      <w:lang w:val="zh-CN" w:bidi="zh-CN"/>
                    </w:rPr>
                  </w:pPr>
                </w:p>
              </w:tc>
            </w:tr>
            <w:tr w14:paraId="0A3C7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exact"/>
                <w:jc w:val="center"/>
              </w:trPr>
              <w:tc>
                <w:tcPr>
                  <w:tcW w:w="500" w:type="pct"/>
                  <w:tcBorders>
                    <w:tl2br w:val="nil"/>
                    <w:tr2bl w:val="nil"/>
                  </w:tcBorders>
                  <w:vAlign w:val="center"/>
                </w:tcPr>
                <w:p w14:paraId="548F106B">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3</w:t>
                  </w:r>
                </w:p>
              </w:tc>
              <w:tc>
                <w:tcPr>
                  <w:tcW w:w="1160" w:type="pct"/>
                  <w:tcBorders>
                    <w:tl2br w:val="nil"/>
                    <w:tr2bl w:val="nil"/>
                  </w:tcBorders>
                  <w:vAlign w:val="center"/>
                </w:tcPr>
                <w:p w14:paraId="2C3B81F3">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SS</w:t>
                  </w:r>
                </w:p>
              </w:tc>
              <w:tc>
                <w:tcPr>
                  <w:tcW w:w="832" w:type="pct"/>
                  <w:tcBorders>
                    <w:tl2br w:val="nil"/>
                    <w:tr2bl w:val="nil"/>
                  </w:tcBorders>
                  <w:vAlign w:val="center"/>
                </w:tcPr>
                <w:p w14:paraId="0B3946BC">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mg/</w:t>
                  </w:r>
                  <w:r>
                    <w:rPr>
                      <w:rFonts w:hint="eastAsia"/>
                      <w:color w:val="auto"/>
                      <w:spacing w:val="0"/>
                      <w:position w:val="0"/>
                      <w:sz w:val="21"/>
                      <w:szCs w:val="21"/>
                      <w:lang w:bidi="zh-CN"/>
                    </w:rPr>
                    <w:t>L</w:t>
                  </w:r>
                </w:p>
              </w:tc>
              <w:tc>
                <w:tcPr>
                  <w:tcW w:w="832" w:type="pct"/>
                  <w:tcBorders>
                    <w:tl2br w:val="nil"/>
                    <w:tr2bl w:val="nil"/>
                  </w:tcBorders>
                  <w:vAlign w:val="center"/>
                </w:tcPr>
                <w:p w14:paraId="5774D5D8">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400</w:t>
                  </w:r>
                </w:p>
              </w:tc>
              <w:tc>
                <w:tcPr>
                  <w:tcW w:w="1674" w:type="pct"/>
                  <w:vMerge w:val="continue"/>
                  <w:tcBorders>
                    <w:tl2br w:val="nil"/>
                    <w:tr2bl w:val="nil"/>
                  </w:tcBorders>
                  <w:vAlign w:val="center"/>
                </w:tcPr>
                <w:p w14:paraId="39C6D1A7">
                  <w:pPr>
                    <w:autoSpaceDE w:val="0"/>
                    <w:autoSpaceDN w:val="0"/>
                    <w:spacing w:line="240" w:lineRule="auto"/>
                    <w:ind w:firstLine="0" w:firstLineChars="0"/>
                    <w:jc w:val="center"/>
                    <w:rPr>
                      <w:color w:val="auto"/>
                      <w:spacing w:val="0"/>
                      <w:position w:val="0"/>
                      <w:sz w:val="21"/>
                      <w:szCs w:val="21"/>
                      <w:lang w:val="zh-CN" w:bidi="zh-CN"/>
                    </w:rPr>
                  </w:pPr>
                </w:p>
              </w:tc>
            </w:tr>
            <w:tr w14:paraId="6AC53D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exact"/>
                <w:jc w:val="center"/>
              </w:trPr>
              <w:tc>
                <w:tcPr>
                  <w:tcW w:w="500" w:type="pct"/>
                  <w:tcBorders>
                    <w:tl2br w:val="nil"/>
                    <w:tr2bl w:val="nil"/>
                  </w:tcBorders>
                  <w:vAlign w:val="center"/>
                </w:tcPr>
                <w:p w14:paraId="27DF31B7">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4</w:t>
                  </w:r>
                </w:p>
              </w:tc>
              <w:tc>
                <w:tcPr>
                  <w:tcW w:w="1160" w:type="pct"/>
                  <w:tcBorders>
                    <w:tl2br w:val="nil"/>
                    <w:tr2bl w:val="nil"/>
                  </w:tcBorders>
                  <w:vAlign w:val="center"/>
                </w:tcPr>
                <w:p w14:paraId="314FF64F">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pH（无量纲）</w:t>
                  </w:r>
                </w:p>
              </w:tc>
              <w:tc>
                <w:tcPr>
                  <w:tcW w:w="832" w:type="pct"/>
                  <w:tcBorders>
                    <w:tl2br w:val="nil"/>
                    <w:tr2bl w:val="nil"/>
                  </w:tcBorders>
                  <w:vAlign w:val="center"/>
                </w:tcPr>
                <w:p w14:paraId="6F9C1D9B">
                  <w:pPr>
                    <w:autoSpaceDE w:val="0"/>
                    <w:autoSpaceDN w:val="0"/>
                    <w:spacing w:line="240" w:lineRule="auto"/>
                    <w:ind w:firstLine="0" w:firstLineChars="0"/>
                    <w:jc w:val="center"/>
                    <w:rPr>
                      <w:color w:val="auto"/>
                      <w:spacing w:val="0"/>
                      <w:position w:val="0"/>
                      <w:sz w:val="21"/>
                      <w:szCs w:val="21"/>
                      <w:lang w:val="zh-CN" w:bidi="zh-CN"/>
                    </w:rPr>
                  </w:pPr>
                  <w:r>
                    <w:rPr>
                      <w:rFonts w:hint="eastAsia"/>
                      <w:color w:val="auto"/>
                      <w:spacing w:val="0"/>
                      <w:position w:val="0"/>
                      <w:sz w:val="21"/>
                      <w:szCs w:val="21"/>
                      <w:lang w:val="zh-CN" w:bidi="zh-CN"/>
                    </w:rPr>
                    <w:t>mg/</w:t>
                  </w:r>
                  <w:r>
                    <w:rPr>
                      <w:rFonts w:hint="eastAsia"/>
                      <w:color w:val="auto"/>
                      <w:spacing w:val="0"/>
                      <w:position w:val="0"/>
                      <w:sz w:val="21"/>
                      <w:szCs w:val="21"/>
                      <w:lang w:bidi="zh-CN"/>
                    </w:rPr>
                    <w:t>L</w:t>
                  </w:r>
                </w:p>
              </w:tc>
              <w:tc>
                <w:tcPr>
                  <w:tcW w:w="832" w:type="pct"/>
                  <w:tcBorders>
                    <w:tl2br w:val="nil"/>
                    <w:tr2bl w:val="nil"/>
                  </w:tcBorders>
                  <w:vAlign w:val="center"/>
                </w:tcPr>
                <w:p w14:paraId="011A91C8">
                  <w:pPr>
                    <w:autoSpaceDE w:val="0"/>
                    <w:autoSpaceDN w:val="0"/>
                    <w:spacing w:line="240" w:lineRule="auto"/>
                    <w:ind w:firstLine="0" w:firstLineChars="0"/>
                    <w:jc w:val="center"/>
                    <w:rPr>
                      <w:color w:val="auto"/>
                      <w:spacing w:val="0"/>
                      <w:position w:val="0"/>
                      <w:sz w:val="21"/>
                      <w:szCs w:val="21"/>
                      <w:lang w:bidi="zh-CN"/>
                    </w:rPr>
                  </w:pPr>
                  <w:r>
                    <w:rPr>
                      <w:rFonts w:hint="eastAsia"/>
                      <w:color w:val="auto"/>
                      <w:spacing w:val="0"/>
                      <w:position w:val="0"/>
                      <w:sz w:val="21"/>
                      <w:szCs w:val="21"/>
                      <w:lang w:bidi="zh-CN"/>
                    </w:rPr>
                    <w:t>~9</w:t>
                  </w:r>
                </w:p>
              </w:tc>
              <w:tc>
                <w:tcPr>
                  <w:tcW w:w="1674" w:type="pct"/>
                  <w:vMerge w:val="continue"/>
                  <w:tcBorders>
                    <w:tl2br w:val="nil"/>
                    <w:tr2bl w:val="nil"/>
                  </w:tcBorders>
                  <w:vAlign w:val="center"/>
                </w:tcPr>
                <w:p w14:paraId="3F01549F">
                  <w:pPr>
                    <w:autoSpaceDE w:val="0"/>
                    <w:autoSpaceDN w:val="0"/>
                    <w:spacing w:line="240" w:lineRule="auto"/>
                    <w:ind w:firstLine="0" w:firstLineChars="0"/>
                    <w:jc w:val="center"/>
                    <w:rPr>
                      <w:color w:val="auto"/>
                      <w:spacing w:val="0"/>
                      <w:position w:val="0"/>
                      <w:sz w:val="21"/>
                      <w:szCs w:val="21"/>
                      <w:lang w:val="zh-CN" w:bidi="zh-CN"/>
                    </w:rPr>
                  </w:pPr>
                </w:p>
              </w:tc>
            </w:tr>
          </w:tbl>
          <w:p w14:paraId="3E17F92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pacing w:val="0"/>
                <w:position w:val="0"/>
                <w:sz w:val="21"/>
                <w:szCs w:val="21"/>
              </w:rPr>
            </w:pPr>
            <w:r>
              <w:rPr>
                <w:b/>
                <w:bCs/>
                <w:color w:val="auto"/>
                <w:spacing w:val="0"/>
                <w:position w:val="0"/>
                <w:sz w:val="21"/>
                <w:szCs w:val="21"/>
              </w:rPr>
              <w:t>3噪声排放标准</w:t>
            </w:r>
          </w:p>
          <w:p w14:paraId="601FAB0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color w:val="auto"/>
                <w:spacing w:val="0"/>
                <w:position w:val="0"/>
                <w:sz w:val="21"/>
                <w:szCs w:val="21"/>
              </w:rPr>
            </w:pPr>
            <w:r>
              <w:rPr>
                <w:color w:val="auto"/>
                <w:spacing w:val="0"/>
                <w:position w:val="0"/>
                <w:sz w:val="21"/>
                <w:szCs w:val="21"/>
              </w:rPr>
              <w:t>（1）</w:t>
            </w:r>
            <w:r>
              <w:rPr>
                <w:rFonts w:hint="eastAsia"/>
                <w:color w:val="auto"/>
                <w:spacing w:val="0"/>
                <w:position w:val="0"/>
                <w:sz w:val="21"/>
                <w:szCs w:val="21"/>
              </w:rPr>
              <w:t>本项目施工期产生的噪声执行《建筑施工场界环境噪声排放标准》（GB12523-2011）表1中排放限值：昼间70</w:t>
            </w:r>
            <w:r>
              <w:rPr>
                <w:rFonts w:hint="eastAsia"/>
                <w:color w:val="auto"/>
                <w:spacing w:val="0"/>
                <w:position w:val="0"/>
                <w:sz w:val="21"/>
                <w:szCs w:val="21"/>
                <w:lang w:val="zh-CN"/>
              </w:rPr>
              <w:t>dB（A）</w:t>
            </w:r>
            <w:r>
              <w:rPr>
                <w:rFonts w:hint="eastAsia"/>
                <w:color w:val="auto"/>
                <w:spacing w:val="0"/>
                <w:position w:val="0"/>
                <w:sz w:val="21"/>
                <w:szCs w:val="21"/>
              </w:rPr>
              <w:t>，夜间55</w:t>
            </w:r>
            <w:r>
              <w:rPr>
                <w:rFonts w:hint="eastAsia"/>
                <w:color w:val="auto"/>
                <w:spacing w:val="0"/>
                <w:position w:val="0"/>
                <w:sz w:val="21"/>
                <w:szCs w:val="21"/>
                <w:lang w:val="zh-CN"/>
              </w:rPr>
              <w:t>dB（A）</w:t>
            </w:r>
            <w:r>
              <w:rPr>
                <w:rFonts w:hint="eastAsia"/>
                <w:color w:val="auto"/>
                <w:spacing w:val="0"/>
                <w:position w:val="0"/>
                <w:sz w:val="21"/>
                <w:szCs w:val="21"/>
              </w:rPr>
              <w:t>；</w:t>
            </w:r>
          </w:p>
          <w:p w14:paraId="402E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zh-CN" w:eastAsia="zh-CN" w:bidi="ar-SA"/>
              </w:rPr>
            </w:pPr>
            <w:r>
              <w:rPr>
                <w:rFonts w:hint="eastAsia" w:ascii="Times New Roman" w:hAnsi="Times New Roman" w:eastAsia="宋体" w:cs="Times New Roman"/>
                <w:b/>
                <w:snapToGrid w:val="0"/>
                <w:color w:val="auto"/>
                <w:spacing w:val="0"/>
                <w:kern w:val="0"/>
                <w:position w:val="0"/>
                <w:sz w:val="21"/>
                <w:szCs w:val="21"/>
                <w:lang w:val="zh-CN" w:eastAsia="zh-CN" w:bidi="ar-SA"/>
              </w:rPr>
              <w:t>表</w:t>
            </w:r>
            <w:r>
              <w:rPr>
                <w:rFonts w:hint="eastAsia" w:ascii="Times New Roman" w:hAnsi="Times New Roman" w:eastAsia="宋体" w:cs="Times New Roman"/>
                <w:b/>
                <w:snapToGrid w:val="0"/>
                <w:color w:val="auto"/>
                <w:spacing w:val="0"/>
                <w:kern w:val="0"/>
                <w:position w:val="0"/>
                <w:sz w:val="21"/>
                <w:szCs w:val="21"/>
                <w:lang w:val="en-US" w:eastAsia="zh-CN" w:bidi="ar-SA"/>
              </w:rPr>
              <w:t>3-8</w:t>
            </w:r>
            <w:r>
              <w:rPr>
                <w:rFonts w:hint="eastAsia" w:ascii="Times New Roman" w:hAnsi="Times New Roman" w:eastAsia="宋体" w:cs="Times New Roman"/>
                <w:b/>
                <w:snapToGrid w:val="0"/>
                <w:color w:val="auto"/>
                <w:spacing w:val="0"/>
                <w:kern w:val="0"/>
                <w:position w:val="0"/>
                <w:sz w:val="21"/>
                <w:szCs w:val="21"/>
                <w:lang w:val="zh-CN" w:eastAsia="zh-CN" w:bidi="ar-SA"/>
              </w:rPr>
              <w:t xml:space="preserve">    建筑施工场界环境噪声排放限值   单位：dB（A）</w:t>
            </w:r>
          </w:p>
          <w:tbl>
            <w:tblPr>
              <w:tblStyle w:val="30"/>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4475"/>
              <w:gridCol w:w="1229"/>
              <w:gridCol w:w="1241"/>
            </w:tblGrid>
            <w:tr w14:paraId="04F49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4" w:type="pct"/>
                  <w:vMerge w:val="restart"/>
                  <w:tcBorders>
                    <w:tl2br w:val="nil"/>
                    <w:tr2bl w:val="nil"/>
                  </w:tcBorders>
                  <w:vAlign w:val="center"/>
                </w:tcPr>
                <w:p w14:paraId="0B0A26E7">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噪声类型</w:t>
                  </w:r>
                </w:p>
              </w:tc>
              <w:tc>
                <w:tcPr>
                  <w:tcW w:w="2741" w:type="pct"/>
                  <w:vMerge w:val="restart"/>
                  <w:tcBorders>
                    <w:tl2br w:val="nil"/>
                    <w:tr2bl w:val="nil"/>
                  </w:tcBorders>
                  <w:vAlign w:val="center"/>
                </w:tcPr>
                <w:p w14:paraId="0E90FE7B">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执行的标准与级别</w:t>
                  </w:r>
                </w:p>
              </w:tc>
              <w:tc>
                <w:tcPr>
                  <w:tcW w:w="1513" w:type="pct"/>
                  <w:gridSpan w:val="2"/>
                  <w:tcBorders>
                    <w:tl2br w:val="nil"/>
                    <w:tr2bl w:val="nil"/>
                  </w:tcBorders>
                  <w:vAlign w:val="center"/>
                </w:tcPr>
                <w:p w14:paraId="1FADFD3A">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标准值</w:t>
                  </w:r>
                </w:p>
              </w:tc>
            </w:tr>
            <w:tr w14:paraId="1F6CD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4" w:type="pct"/>
                  <w:vMerge w:val="continue"/>
                  <w:tcBorders>
                    <w:tl2br w:val="nil"/>
                    <w:tr2bl w:val="nil"/>
                  </w:tcBorders>
                  <w:vAlign w:val="center"/>
                </w:tcPr>
                <w:p w14:paraId="69143F23">
                  <w:pPr>
                    <w:autoSpaceDE w:val="0"/>
                    <w:autoSpaceDN w:val="0"/>
                    <w:spacing w:line="240" w:lineRule="auto"/>
                    <w:ind w:firstLine="0" w:firstLineChars="0"/>
                    <w:jc w:val="center"/>
                    <w:rPr>
                      <w:color w:val="auto"/>
                      <w:spacing w:val="0"/>
                      <w:position w:val="0"/>
                      <w:sz w:val="21"/>
                      <w:szCs w:val="21"/>
                      <w:lang w:val="zh-CN"/>
                    </w:rPr>
                  </w:pPr>
                </w:p>
              </w:tc>
              <w:tc>
                <w:tcPr>
                  <w:tcW w:w="2741" w:type="pct"/>
                  <w:vMerge w:val="continue"/>
                  <w:tcBorders>
                    <w:tl2br w:val="nil"/>
                    <w:tr2bl w:val="nil"/>
                  </w:tcBorders>
                  <w:vAlign w:val="center"/>
                </w:tcPr>
                <w:p w14:paraId="73DDD7D7">
                  <w:pPr>
                    <w:autoSpaceDE w:val="0"/>
                    <w:autoSpaceDN w:val="0"/>
                    <w:spacing w:line="240" w:lineRule="auto"/>
                    <w:ind w:firstLine="0" w:firstLineChars="0"/>
                    <w:jc w:val="center"/>
                    <w:rPr>
                      <w:color w:val="auto"/>
                      <w:spacing w:val="0"/>
                      <w:position w:val="0"/>
                      <w:sz w:val="21"/>
                      <w:szCs w:val="21"/>
                      <w:lang w:val="zh-CN"/>
                    </w:rPr>
                  </w:pPr>
                </w:p>
              </w:tc>
              <w:tc>
                <w:tcPr>
                  <w:tcW w:w="753" w:type="pct"/>
                  <w:tcBorders>
                    <w:tl2br w:val="nil"/>
                    <w:tr2bl w:val="nil"/>
                  </w:tcBorders>
                  <w:vAlign w:val="center"/>
                </w:tcPr>
                <w:p w14:paraId="65FC2BAC">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昼间</w:t>
                  </w:r>
                </w:p>
              </w:tc>
              <w:tc>
                <w:tcPr>
                  <w:tcW w:w="760" w:type="pct"/>
                  <w:tcBorders>
                    <w:tl2br w:val="nil"/>
                    <w:tr2bl w:val="nil"/>
                  </w:tcBorders>
                  <w:vAlign w:val="center"/>
                </w:tcPr>
                <w:p w14:paraId="124F37E6">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夜间</w:t>
                  </w:r>
                </w:p>
              </w:tc>
            </w:tr>
            <w:tr w14:paraId="3C7B8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744" w:type="pct"/>
                  <w:tcBorders>
                    <w:tl2br w:val="nil"/>
                    <w:tr2bl w:val="nil"/>
                  </w:tcBorders>
                  <w:vAlign w:val="center"/>
                </w:tcPr>
                <w:p w14:paraId="038D211B">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厂界噪声</w:t>
                  </w:r>
                </w:p>
              </w:tc>
              <w:tc>
                <w:tcPr>
                  <w:tcW w:w="2741" w:type="pct"/>
                  <w:tcBorders>
                    <w:tl2br w:val="nil"/>
                    <w:tr2bl w:val="nil"/>
                  </w:tcBorders>
                  <w:vAlign w:val="center"/>
                </w:tcPr>
                <w:p w14:paraId="596A558B">
                  <w:pPr>
                    <w:autoSpaceDE w:val="0"/>
                    <w:autoSpaceDN w:val="0"/>
                    <w:spacing w:line="240" w:lineRule="auto"/>
                    <w:ind w:firstLine="0" w:firstLineChars="0"/>
                    <w:jc w:val="center"/>
                    <w:rPr>
                      <w:color w:val="auto"/>
                      <w:spacing w:val="0"/>
                      <w:position w:val="0"/>
                      <w:sz w:val="21"/>
                      <w:szCs w:val="21"/>
                      <w:lang w:val="zh-CN"/>
                    </w:rPr>
                  </w:pPr>
                  <w:r>
                    <w:rPr>
                      <w:rFonts w:hint="eastAsia"/>
                      <w:color w:val="auto"/>
                      <w:spacing w:val="0"/>
                      <w:position w:val="0"/>
                      <w:sz w:val="21"/>
                      <w:szCs w:val="21"/>
                      <w:lang w:val="zh-CN"/>
                    </w:rPr>
                    <w:t>《建筑施工场界环境噪声排放标准》（GB12523-2011）</w:t>
                  </w:r>
                </w:p>
              </w:tc>
              <w:tc>
                <w:tcPr>
                  <w:tcW w:w="753" w:type="pct"/>
                  <w:tcBorders>
                    <w:tl2br w:val="nil"/>
                    <w:tr2bl w:val="nil"/>
                  </w:tcBorders>
                  <w:vAlign w:val="center"/>
                </w:tcPr>
                <w:p w14:paraId="41AEC64A">
                  <w:pPr>
                    <w:autoSpaceDE w:val="0"/>
                    <w:autoSpaceDN w:val="0"/>
                    <w:spacing w:line="240" w:lineRule="auto"/>
                    <w:ind w:firstLine="0" w:firstLineChars="0"/>
                    <w:jc w:val="center"/>
                    <w:rPr>
                      <w:color w:val="auto"/>
                      <w:spacing w:val="0"/>
                      <w:position w:val="0"/>
                      <w:sz w:val="21"/>
                      <w:szCs w:val="21"/>
                    </w:rPr>
                  </w:pPr>
                  <w:r>
                    <w:rPr>
                      <w:rFonts w:hint="eastAsia"/>
                      <w:color w:val="auto"/>
                      <w:spacing w:val="0"/>
                      <w:position w:val="0"/>
                      <w:sz w:val="21"/>
                      <w:szCs w:val="21"/>
                    </w:rPr>
                    <w:t>70</w:t>
                  </w:r>
                </w:p>
              </w:tc>
              <w:tc>
                <w:tcPr>
                  <w:tcW w:w="760" w:type="pct"/>
                  <w:tcBorders>
                    <w:tl2br w:val="nil"/>
                    <w:tr2bl w:val="nil"/>
                  </w:tcBorders>
                  <w:vAlign w:val="center"/>
                </w:tcPr>
                <w:p w14:paraId="0D2B6BE2">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5</w:t>
                  </w:r>
                  <w:r>
                    <w:rPr>
                      <w:color w:val="auto"/>
                      <w:spacing w:val="0"/>
                      <w:position w:val="0"/>
                      <w:sz w:val="21"/>
                      <w:szCs w:val="21"/>
                    </w:rPr>
                    <w:t>5</w:t>
                  </w:r>
                </w:p>
              </w:tc>
            </w:tr>
          </w:tbl>
          <w:p w14:paraId="71A60FC3">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560"/>
              <w:textAlignment w:val="auto"/>
              <w:rPr>
                <w:color w:val="auto"/>
                <w:spacing w:val="0"/>
                <w:kern w:val="2"/>
                <w:position w:val="0"/>
                <w:sz w:val="21"/>
                <w:szCs w:val="21"/>
              </w:rPr>
            </w:pPr>
            <w:r>
              <w:rPr>
                <w:rFonts w:hint="eastAsia"/>
                <w:color w:val="auto"/>
                <w:spacing w:val="0"/>
                <w:kern w:val="2"/>
                <w:position w:val="0"/>
                <w:sz w:val="21"/>
                <w:szCs w:val="21"/>
              </w:rPr>
              <w:t>（2）本项目运营期产生的噪声执行《工业企业厂界环境噪声排放标准》（GB12348—2008）</w:t>
            </w:r>
            <w:r>
              <w:rPr>
                <w:rFonts w:hint="eastAsia"/>
                <w:color w:val="auto"/>
                <w:spacing w:val="0"/>
                <w:kern w:val="2"/>
                <w:position w:val="0"/>
                <w:sz w:val="21"/>
                <w:szCs w:val="21"/>
                <w:lang w:val="zh-CN" w:eastAsia="zh-CN"/>
              </w:rPr>
              <w:t>中</w:t>
            </w:r>
            <w:r>
              <w:rPr>
                <w:rFonts w:hint="eastAsia"/>
                <w:color w:val="auto"/>
                <w:spacing w:val="0"/>
                <w:kern w:val="2"/>
                <w:position w:val="0"/>
                <w:sz w:val="21"/>
                <w:szCs w:val="21"/>
                <w:lang w:val="en-US" w:eastAsia="zh-CN"/>
              </w:rPr>
              <w:t>3</w:t>
            </w:r>
            <w:r>
              <w:rPr>
                <w:rFonts w:hint="eastAsia"/>
                <w:color w:val="auto"/>
                <w:spacing w:val="0"/>
                <w:kern w:val="2"/>
                <w:position w:val="0"/>
                <w:sz w:val="21"/>
                <w:szCs w:val="21"/>
                <w:lang w:val="zh-CN" w:eastAsia="zh-CN"/>
              </w:rPr>
              <w:t>类标准。</w:t>
            </w:r>
          </w:p>
          <w:p w14:paraId="53CE6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zh-CN" w:eastAsia="zh-CN" w:bidi="ar-SA"/>
              </w:rPr>
            </w:pPr>
            <w:r>
              <w:rPr>
                <w:rFonts w:hint="eastAsia" w:ascii="Times New Roman" w:hAnsi="Times New Roman" w:eastAsia="宋体" w:cs="Times New Roman"/>
                <w:b/>
                <w:snapToGrid w:val="0"/>
                <w:color w:val="auto"/>
                <w:spacing w:val="0"/>
                <w:kern w:val="0"/>
                <w:position w:val="0"/>
                <w:sz w:val="21"/>
                <w:szCs w:val="21"/>
                <w:lang w:val="zh-CN" w:eastAsia="zh-CN" w:bidi="ar-SA"/>
              </w:rPr>
              <w:t>表</w:t>
            </w:r>
            <w:r>
              <w:rPr>
                <w:rFonts w:hint="eastAsia" w:ascii="Times New Roman" w:hAnsi="Times New Roman" w:eastAsia="宋体" w:cs="Times New Roman"/>
                <w:b/>
                <w:snapToGrid w:val="0"/>
                <w:color w:val="auto"/>
                <w:spacing w:val="0"/>
                <w:kern w:val="0"/>
                <w:position w:val="0"/>
                <w:sz w:val="21"/>
                <w:szCs w:val="21"/>
                <w:lang w:val="en-US" w:eastAsia="zh-CN" w:bidi="ar-SA"/>
              </w:rPr>
              <w:t>3-9</w:t>
            </w:r>
            <w:r>
              <w:rPr>
                <w:rFonts w:hint="eastAsia" w:ascii="Times New Roman" w:hAnsi="Times New Roman" w:eastAsia="宋体" w:cs="Times New Roman"/>
                <w:b/>
                <w:snapToGrid w:val="0"/>
                <w:color w:val="auto"/>
                <w:spacing w:val="0"/>
                <w:kern w:val="0"/>
                <w:position w:val="0"/>
                <w:sz w:val="21"/>
                <w:szCs w:val="21"/>
                <w:lang w:val="zh-CN" w:eastAsia="zh-CN" w:bidi="ar-SA"/>
              </w:rPr>
              <w:t xml:space="preserve">   噪声排放标准   单位：dB（A）</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9"/>
              <w:gridCol w:w="1324"/>
              <w:gridCol w:w="3747"/>
              <w:gridCol w:w="1031"/>
              <w:gridCol w:w="1037"/>
            </w:tblGrid>
            <w:tr w14:paraId="11D85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restart"/>
                  <w:tcBorders>
                    <w:tl2br w:val="nil"/>
                    <w:tr2bl w:val="nil"/>
                  </w:tcBorders>
                  <w:vAlign w:val="center"/>
                </w:tcPr>
                <w:p w14:paraId="2C683C09">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噪声类型</w:t>
                  </w:r>
                </w:p>
              </w:tc>
              <w:tc>
                <w:tcPr>
                  <w:tcW w:w="811" w:type="pct"/>
                  <w:vMerge w:val="restart"/>
                  <w:tcBorders>
                    <w:tl2br w:val="nil"/>
                    <w:tr2bl w:val="nil"/>
                  </w:tcBorders>
                  <w:vAlign w:val="center"/>
                </w:tcPr>
                <w:p w14:paraId="1D086E5C">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功能区类型</w:t>
                  </w:r>
                </w:p>
              </w:tc>
              <w:tc>
                <w:tcPr>
                  <w:tcW w:w="2296" w:type="pct"/>
                  <w:vMerge w:val="restart"/>
                  <w:tcBorders>
                    <w:tl2br w:val="nil"/>
                    <w:tr2bl w:val="nil"/>
                  </w:tcBorders>
                  <w:vAlign w:val="center"/>
                </w:tcPr>
                <w:p w14:paraId="3E589899">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执行的标准与级别</w:t>
                  </w:r>
                </w:p>
              </w:tc>
              <w:tc>
                <w:tcPr>
                  <w:tcW w:w="1267" w:type="pct"/>
                  <w:gridSpan w:val="2"/>
                  <w:tcBorders>
                    <w:tl2br w:val="nil"/>
                    <w:tr2bl w:val="nil"/>
                  </w:tcBorders>
                  <w:vAlign w:val="center"/>
                </w:tcPr>
                <w:p w14:paraId="3FF2268B">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标准值</w:t>
                  </w:r>
                </w:p>
              </w:tc>
            </w:tr>
            <w:tr w14:paraId="7A3F2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25" w:type="pct"/>
                  <w:vMerge w:val="continue"/>
                  <w:tcBorders>
                    <w:tl2br w:val="nil"/>
                    <w:tr2bl w:val="nil"/>
                  </w:tcBorders>
                  <w:vAlign w:val="center"/>
                </w:tcPr>
                <w:p w14:paraId="60CF7D2D">
                  <w:pPr>
                    <w:autoSpaceDE w:val="0"/>
                    <w:autoSpaceDN w:val="0"/>
                    <w:spacing w:line="240" w:lineRule="auto"/>
                    <w:ind w:firstLine="0" w:firstLineChars="0"/>
                    <w:jc w:val="center"/>
                    <w:rPr>
                      <w:color w:val="auto"/>
                      <w:spacing w:val="0"/>
                      <w:position w:val="0"/>
                      <w:sz w:val="21"/>
                      <w:szCs w:val="21"/>
                      <w:lang w:val="zh-CN"/>
                    </w:rPr>
                  </w:pPr>
                </w:p>
              </w:tc>
              <w:tc>
                <w:tcPr>
                  <w:tcW w:w="811" w:type="pct"/>
                  <w:vMerge w:val="continue"/>
                  <w:tcBorders>
                    <w:tl2br w:val="nil"/>
                    <w:tr2bl w:val="nil"/>
                  </w:tcBorders>
                  <w:vAlign w:val="center"/>
                </w:tcPr>
                <w:p w14:paraId="1BE8C5D0">
                  <w:pPr>
                    <w:autoSpaceDE w:val="0"/>
                    <w:autoSpaceDN w:val="0"/>
                    <w:spacing w:line="240" w:lineRule="auto"/>
                    <w:ind w:firstLine="0" w:firstLineChars="0"/>
                    <w:jc w:val="center"/>
                    <w:rPr>
                      <w:color w:val="auto"/>
                      <w:spacing w:val="0"/>
                      <w:position w:val="0"/>
                      <w:sz w:val="21"/>
                      <w:szCs w:val="21"/>
                      <w:lang w:val="zh-CN"/>
                    </w:rPr>
                  </w:pPr>
                </w:p>
              </w:tc>
              <w:tc>
                <w:tcPr>
                  <w:tcW w:w="2296" w:type="pct"/>
                  <w:vMerge w:val="continue"/>
                  <w:tcBorders>
                    <w:tl2br w:val="nil"/>
                    <w:tr2bl w:val="nil"/>
                  </w:tcBorders>
                  <w:vAlign w:val="center"/>
                </w:tcPr>
                <w:p w14:paraId="7A21C2B3">
                  <w:pPr>
                    <w:autoSpaceDE w:val="0"/>
                    <w:autoSpaceDN w:val="0"/>
                    <w:spacing w:line="240" w:lineRule="auto"/>
                    <w:ind w:firstLine="0" w:firstLineChars="0"/>
                    <w:jc w:val="center"/>
                    <w:rPr>
                      <w:color w:val="auto"/>
                      <w:spacing w:val="0"/>
                      <w:position w:val="0"/>
                      <w:sz w:val="21"/>
                      <w:szCs w:val="21"/>
                      <w:lang w:val="zh-CN"/>
                    </w:rPr>
                  </w:pPr>
                </w:p>
              </w:tc>
              <w:tc>
                <w:tcPr>
                  <w:tcW w:w="632" w:type="pct"/>
                  <w:tcBorders>
                    <w:tl2br w:val="nil"/>
                    <w:tr2bl w:val="nil"/>
                  </w:tcBorders>
                  <w:vAlign w:val="center"/>
                </w:tcPr>
                <w:p w14:paraId="33EA9102">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昼间</w:t>
                  </w:r>
                </w:p>
              </w:tc>
              <w:tc>
                <w:tcPr>
                  <w:tcW w:w="634" w:type="pct"/>
                  <w:tcBorders>
                    <w:tl2br w:val="nil"/>
                    <w:tr2bl w:val="nil"/>
                  </w:tcBorders>
                  <w:vAlign w:val="center"/>
                </w:tcPr>
                <w:p w14:paraId="4CCB4420">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夜间</w:t>
                  </w:r>
                </w:p>
              </w:tc>
            </w:tr>
            <w:tr w14:paraId="338AB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625" w:type="pct"/>
                  <w:tcBorders>
                    <w:tl2br w:val="nil"/>
                    <w:tr2bl w:val="nil"/>
                  </w:tcBorders>
                  <w:vAlign w:val="center"/>
                </w:tcPr>
                <w:p w14:paraId="0A0C0353">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厂界噪声</w:t>
                  </w:r>
                </w:p>
              </w:tc>
              <w:tc>
                <w:tcPr>
                  <w:tcW w:w="1305" w:type="dxa"/>
                  <w:tcBorders>
                    <w:tl2br w:val="nil"/>
                    <w:tr2bl w:val="nil"/>
                  </w:tcBorders>
                  <w:vAlign w:val="center"/>
                </w:tcPr>
                <w:p w14:paraId="2412E9CC">
                  <w:pPr>
                    <w:autoSpaceDE w:val="0"/>
                    <w:autoSpaceDN w:val="0"/>
                    <w:spacing w:line="240" w:lineRule="auto"/>
                    <w:ind w:firstLine="0" w:firstLineChars="0"/>
                    <w:jc w:val="center"/>
                    <w:rPr>
                      <w:color w:val="auto"/>
                      <w:spacing w:val="0"/>
                      <w:position w:val="0"/>
                      <w:sz w:val="21"/>
                      <w:szCs w:val="21"/>
                      <w:lang w:val="zh-CN"/>
                    </w:rPr>
                  </w:pPr>
                  <w:r>
                    <w:rPr>
                      <w:rFonts w:hint="eastAsia"/>
                      <w:color w:val="auto"/>
                      <w:spacing w:val="0"/>
                      <w:position w:val="0"/>
                      <w:sz w:val="21"/>
                      <w:szCs w:val="21"/>
                      <w:lang w:val="en-US" w:eastAsia="zh-CN"/>
                    </w:rPr>
                    <w:t>3</w:t>
                  </w:r>
                  <w:r>
                    <w:rPr>
                      <w:rFonts w:hint="eastAsia"/>
                      <w:color w:val="auto"/>
                      <w:spacing w:val="0"/>
                      <w:position w:val="0"/>
                      <w:sz w:val="21"/>
                      <w:szCs w:val="21"/>
                      <w:lang w:eastAsia="zh-CN"/>
                    </w:rPr>
                    <w:t>类</w:t>
                  </w:r>
                </w:p>
              </w:tc>
              <w:tc>
                <w:tcPr>
                  <w:tcW w:w="3694" w:type="dxa"/>
                  <w:tcBorders>
                    <w:tl2br w:val="nil"/>
                    <w:tr2bl w:val="nil"/>
                  </w:tcBorders>
                  <w:vAlign w:val="center"/>
                </w:tcPr>
                <w:p w14:paraId="16FCC684">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《工业企业厂界环境噪声排放标准》</w:t>
                  </w:r>
                </w:p>
                <w:p w14:paraId="30CA81D3">
                  <w:pPr>
                    <w:autoSpaceDE w:val="0"/>
                    <w:autoSpaceDN w:val="0"/>
                    <w:spacing w:line="240" w:lineRule="auto"/>
                    <w:ind w:firstLine="0" w:firstLineChars="0"/>
                    <w:jc w:val="center"/>
                    <w:rPr>
                      <w:color w:val="auto"/>
                      <w:spacing w:val="0"/>
                      <w:position w:val="0"/>
                      <w:sz w:val="21"/>
                      <w:szCs w:val="21"/>
                      <w:lang w:val="zh-CN"/>
                    </w:rPr>
                  </w:pPr>
                  <w:r>
                    <w:rPr>
                      <w:color w:val="auto"/>
                      <w:spacing w:val="0"/>
                      <w:position w:val="0"/>
                      <w:sz w:val="21"/>
                      <w:szCs w:val="21"/>
                      <w:lang w:val="zh-CN"/>
                    </w:rPr>
                    <w:t>（GB12348-2008）中</w:t>
                  </w:r>
                  <w:r>
                    <w:rPr>
                      <w:rFonts w:hint="eastAsia"/>
                      <w:color w:val="auto"/>
                      <w:spacing w:val="0"/>
                      <w:position w:val="0"/>
                      <w:sz w:val="21"/>
                      <w:szCs w:val="21"/>
                      <w:lang w:val="en-US" w:eastAsia="zh-CN"/>
                    </w:rPr>
                    <w:t>3</w:t>
                  </w:r>
                  <w:r>
                    <w:rPr>
                      <w:rFonts w:hint="eastAsia"/>
                      <w:color w:val="auto"/>
                      <w:spacing w:val="0"/>
                      <w:position w:val="0"/>
                      <w:sz w:val="21"/>
                      <w:szCs w:val="21"/>
                      <w:lang w:eastAsia="zh-CN"/>
                    </w:rPr>
                    <w:t>类</w:t>
                  </w:r>
                  <w:r>
                    <w:rPr>
                      <w:color w:val="auto"/>
                      <w:spacing w:val="0"/>
                      <w:position w:val="0"/>
                      <w:sz w:val="21"/>
                      <w:szCs w:val="21"/>
                      <w:lang w:val="zh-CN"/>
                    </w:rPr>
                    <w:t>标准</w:t>
                  </w:r>
                </w:p>
              </w:tc>
              <w:tc>
                <w:tcPr>
                  <w:tcW w:w="1017" w:type="dxa"/>
                  <w:tcBorders>
                    <w:tl2br w:val="nil"/>
                    <w:tr2bl w:val="nil"/>
                  </w:tcBorders>
                  <w:vAlign w:val="center"/>
                </w:tcPr>
                <w:p w14:paraId="6779F69A">
                  <w:pPr>
                    <w:autoSpaceDE w:val="0"/>
                    <w:autoSpaceDN w:val="0"/>
                    <w:spacing w:line="240" w:lineRule="auto"/>
                    <w:ind w:firstLine="0" w:firstLineChars="0"/>
                    <w:jc w:val="center"/>
                    <w:rPr>
                      <w:color w:val="auto"/>
                      <w:spacing w:val="0"/>
                      <w:position w:val="0"/>
                      <w:sz w:val="21"/>
                      <w:szCs w:val="21"/>
                    </w:rPr>
                  </w:pPr>
                  <w:r>
                    <w:rPr>
                      <w:color w:val="auto"/>
                      <w:spacing w:val="0"/>
                      <w:position w:val="0"/>
                      <w:sz w:val="21"/>
                      <w:szCs w:val="21"/>
                    </w:rPr>
                    <w:t>6</w:t>
                  </w:r>
                  <w:r>
                    <w:rPr>
                      <w:rFonts w:hint="eastAsia"/>
                      <w:color w:val="auto"/>
                      <w:spacing w:val="0"/>
                      <w:position w:val="0"/>
                      <w:sz w:val="21"/>
                      <w:szCs w:val="21"/>
                      <w:lang w:val="en-US" w:eastAsia="zh-CN"/>
                    </w:rPr>
                    <w:t>5</w:t>
                  </w:r>
                </w:p>
              </w:tc>
              <w:tc>
                <w:tcPr>
                  <w:tcW w:w="1022" w:type="dxa"/>
                  <w:tcBorders>
                    <w:tl2br w:val="nil"/>
                    <w:tr2bl w:val="nil"/>
                  </w:tcBorders>
                  <w:vAlign w:val="center"/>
                </w:tcPr>
                <w:p w14:paraId="28556D48">
                  <w:pPr>
                    <w:autoSpaceDE w:val="0"/>
                    <w:autoSpaceDN w:val="0"/>
                    <w:spacing w:line="240" w:lineRule="auto"/>
                    <w:ind w:firstLine="0" w:firstLineChars="0"/>
                    <w:jc w:val="center"/>
                    <w:rPr>
                      <w:color w:val="auto"/>
                      <w:spacing w:val="0"/>
                      <w:position w:val="0"/>
                      <w:sz w:val="21"/>
                      <w:szCs w:val="21"/>
                    </w:rPr>
                  </w:pPr>
                  <w:r>
                    <w:rPr>
                      <w:color w:val="auto"/>
                      <w:spacing w:val="0"/>
                      <w:position w:val="0"/>
                      <w:sz w:val="21"/>
                      <w:szCs w:val="21"/>
                      <w:lang w:val="zh-CN"/>
                    </w:rPr>
                    <w:t>5</w:t>
                  </w:r>
                  <w:r>
                    <w:rPr>
                      <w:rFonts w:hint="eastAsia"/>
                      <w:color w:val="auto"/>
                      <w:spacing w:val="0"/>
                      <w:position w:val="0"/>
                      <w:sz w:val="21"/>
                      <w:szCs w:val="21"/>
                      <w:lang w:val="en-US" w:eastAsia="zh-CN"/>
                    </w:rPr>
                    <w:t>5</w:t>
                  </w:r>
                </w:p>
              </w:tc>
            </w:tr>
          </w:tbl>
          <w:p w14:paraId="49ABA68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b/>
                <w:bCs/>
                <w:color w:val="auto"/>
                <w:spacing w:val="0"/>
                <w:position w:val="0"/>
                <w:sz w:val="21"/>
                <w:szCs w:val="21"/>
              </w:rPr>
            </w:pPr>
            <w:r>
              <w:rPr>
                <w:b/>
                <w:bCs/>
                <w:color w:val="auto"/>
                <w:spacing w:val="0"/>
                <w:position w:val="0"/>
                <w:sz w:val="21"/>
                <w:szCs w:val="21"/>
              </w:rPr>
              <w:t>4固体废物排放标准</w:t>
            </w:r>
          </w:p>
          <w:p w14:paraId="21676B6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color w:val="auto"/>
                <w:spacing w:val="0"/>
                <w:position w:val="0"/>
                <w:sz w:val="21"/>
                <w:szCs w:val="21"/>
              </w:rPr>
            </w:pPr>
            <w:r>
              <w:rPr>
                <w:rFonts w:hint="eastAsia"/>
                <w:color w:val="auto"/>
                <w:spacing w:val="0"/>
                <w:position w:val="0"/>
                <w:sz w:val="21"/>
                <w:szCs w:val="21"/>
              </w:rPr>
              <w:t>一般工业固体废物</w:t>
            </w:r>
            <w:r>
              <w:rPr>
                <w:rFonts w:hint="eastAsia"/>
                <w:color w:val="auto"/>
                <w:spacing w:val="0"/>
                <w:position w:val="0"/>
                <w:sz w:val="21"/>
                <w:szCs w:val="21"/>
                <w:lang w:val="en-US" w:eastAsia="zh-CN"/>
              </w:rPr>
              <w:t>处置时</w:t>
            </w:r>
            <w:r>
              <w:rPr>
                <w:rFonts w:hint="eastAsia"/>
                <w:color w:val="auto"/>
                <w:spacing w:val="0"/>
                <w:position w:val="0"/>
                <w:sz w:val="21"/>
                <w:szCs w:val="21"/>
              </w:rPr>
              <w:t>执行《一般工业固体废物贮存和填埋污染控制标准》（GB18599-2020）。</w:t>
            </w:r>
          </w:p>
          <w:p w14:paraId="3E5E25E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color w:val="0000FF"/>
                <w:spacing w:val="0"/>
                <w:position w:val="0"/>
                <w:sz w:val="21"/>
                <w:szCs w:val="21"/>
              </w:rPr>
            </w:pPr>
            <w:r>
              <w:rPr>
                <w:rFonts w:hint="eastAsia"/>
                <w:color w:val="auto"/>
                <w:spacing w:val="0"/>
                <w:position w:val="0"/>
                <w:sz w:val="21"/>
                <w:szCs w:val="21"/>
              </w:rPr>
              <w:t>危险废物</w:t>
            </w:r>
            <w:r>
              <w:rPr>
                <w:rFonts w:hint="eastAsia"/>
                <w:color w:val="auto"/>
                <w:spacing w:val="0"/>
                <w:position w:val="0"/>
                <w:sz w:val="21"/>
                <w:szCs w:val="21"/>
                <w:lang w:val="en-US" w:eastAsia="zh-CN"/>
              </w:rPr>
              <w:t>处置时</w:t>
            </w:r>
            <w:r>
              <w:rPr>
                <w:rFonts w:hint="eastAsia"/>
                <w:color w:val="auto"/>
                <w:spacing w:val="0"/>
                <w:position w:val="0"/>
                <w:sz w:val="21"/>
                <w:szCs w:val="21"/>
              </w:rPr>
              <w:t>执行《危险废物贮存污染控制标准》</w:t>
            </w:r>
            <w:r>
              <w:rPr>
                <w:rFonts w:hint="eastAsia"/>
                <w:color w:val="auto"/>
                <w:spacing w:val="0"/>
                <w:position w:val="0"/>
                <w:sz w:val="21"/>
                <w:szCs w:val="21"/>
                <w:lang w:eastAsia="zh-CN"/>
              </w:rPr>
              <w:t>（</w:t>
            </w:r>
            <w:r>
              <w:rPr>
                <w:rFonts w:hint="eastAsia"/>
                <w:color w:val="auto"/>
                <w:spacing w:val="0"/>
                <w:position w:val="0"/>
                <w:sz w:val="21"/>
                <w:szCs w:val="21"/>
              </w:rPr>
              <w:t>GB18597-2023）。</w:t>
            </w:r>
          </w:p>
        </w:tc>
      </w:tr>
      <w:tr w14:paraId="5AC85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Align w:val="center"/>
          </w:tcPr>
          <w:p w14:paraId="111891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总量控制指标</w:t>
            </w:r>
          </w:p>
        </w:tc>
        <w:tc>
          <w:tcPr>
            <w:tcW w:w="8408" w:type="dxa"/>
          </w:tcPr>
          <w:p w14:paraId="093C12EE">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rPr>
              <w:t>根据国家规定的总量控制指标，并结合本项目的排污特点、所在区域环境质量现状等因素，本项目无生产废水</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生活污水排入</w:t>
            </w:r>
            <w:r>
              <w:rPr>
                <w:rFonts w:hint="eastAsia" w:ascii="Times New Roman" w:hAnsi="Times New Roman" w:eastAsia="宋体" w:cs="Times New Roman"/>
                <w:color w:val="auto"/>
                <w:spacing w:val="0"/>
                <w:position w:val="0"/>
                <w:sz w:val="21"/>
                <w:szCs w:val="21"/>
                <w:lang w:val="en-US" w:eastAsia="zh-CN"/>
              </w:rPr>
              <w:t>园区污水管网，最终</w:t>
            </w:r>
            <w:r>
              <w:rPr>
                <w:rFonts w:hint="eastAsia" w:ascii="Times New Roman" w:hAnsi="Times New Roman" w:eastAsia="宋体" w:cs="Times New Roman"/>
                <w:color w:val="auto"/>
                <w:spacing w:val="0"/>
                <w:position w:val="0"/>
                <w:sz w:val="21"/>
                <w:szCs w:val="21"/>
              </w:rPr>
              <w:t>集</w:t>
            </w:r>
            <w:r>
              <w:rPr>
                <w:rFonts w:hint="eastAsia" w:ascii="Times New Roman" w:hAnsi="Times New Roman" w:eastAsia="宋体" w:cs="Times New Roman"/>
                <w:color w:val="auto"/>
                <w:spacing w:val="0"/>
                <w:position w:val="0"/>
                <w:sz w:val="21"/>
                <w:szCs w:val="21"/>
                <w:lang w:val="en-US" w:eastAsia="zh-CN"/>
              </w:rPr>
              <w:t>进入</w:t>
            </w:r>
            <w:r>
              <w:rPr>
                <w:rFonts w:hint="eastAsia"/>
                <w:color w:val="auto"/>
                <w:spacing w:val="0"/>
                <w:position w:val="0"/>
                <w:sz w:val="21"/>
                <w:szCs w:val="21"/>
                <w:lang w:val="en-US" w:eastAsia="zh-CN"/>
              </w:rPr>
              <w:t>天北经开区污水处理厂处理</w:t>
            </w:r>
            <w:r>
              <w:rPr>
                <w:rFonts w:hint="eastAsia" w:ascii="Times New Roman" w:hAnsi="Times New Roman" w:eastAsia="宋体" w:cs="Times New Roman"/>
                <w:color w:val="auto"/>
                <w:spacing w:val="0"/>
                <w:position w:val="0"/>
                <w:sz w:val="21"/>
                <w:szCs w:val="21"/>
              </w:rPr>
              <w:t>，化学需氧量</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COD</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、氨氦</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NH</w:t>
            </w:r>
            <w:r>
              <w:rPr>
                <w:rFonts w:hint="eastAsia" w:ascii="Times New Roman" w:hAnsi="Times New Roman" w:eastAsia="宋体" w:cs="Times New Roman"/>
                <w:color w:val="auto"/>
                <w:spacing w:val="0"/>
                <w:position w:val="0"/>
                <w:sz w:val="21"/>
                <w:szCs w:val="21"/>
                <w:vertAlign w:val="subscript"/>
              </w:rPr>
              <w:t>3</w:t>
            </w:r>
            <w:r>
              <w:rPr>
                <w:rFonts w:hint="eastAsia" w:ascii="Times New Roman" w:hAnsi="Times New Roman" w:eastAsia="宋体" w:cs="Times New Roman"/>
                <w:color w:val="auto"/>
                <w:spacing w:val="0"/>
                <w:position w:val="0"/>
                <w:sz w:val="21"/>
                <w:szCs w:val="21"/>
              </w:rPr>
              <w:t>-N</w:t>
            </w:r>
            <w:r>
              <w:rPr>
                <w:rFonts w:hint="eastAsia"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总量纳入</w:t>
            </w:r>
            <w:r>
              <w:rPr>
                <w:rFonts w:hint="eastAsia" w:ascii="Times New Roman" w:hAnsi="Times New Roman" w:eastAsia="宋体" w:cs="Times New Roman"/>
                <w:color w:val="auto"/>
                <w:spacing w:val="0"/>
                <w:position w:val="0"/>
                <w:sz w:val="21"/>
                <w:szCs w:val="21"/>
                <w:lang w:eastAsia="zh-CN"/>
              </w:rPr>
              <w:t>园区污水处理厂</w:t>
            </w:r>
            <w:r>
              <w:rPr>
                <w:rFonts w:hint="eastAsia" w:ascii="Times New Roman" w:hAnsi="Times New Roman" w:eastAsia="宋体" w:cs="Times New Roman"/>
                <w:color w:val="auto"/>
                <w:spacing w:val="0"/>
                <w:position w:val="0"/>
                <w:sz w:val="21"/>
                <w:szCs w:val="21"/>
              </w:rPr>
              <w:t>。根据国家对污染物排放实行总量控制的有关规定及本项目特点，本项目涉及的总量控制因子为：VOC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rPr>
              <w:t>。</w:t>
            </w:r>
          </w:p>
          <w:p w14:paraId="6D569CD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FF0000"/>
                <w:spacing w:val="0"/>
                <w:position w:val="0"/>
                <w:sz w:val="21"/>
                <w:szCs w:val="21"/>
                <w:lang w:val="en-US"/>
              </w:rPr>
            </w:pPr>
            <w:r>
              <w:rPr>
                <w:rFonts w:hint="eastAsia" w:ascii="Times New Roman" w:hAnsi="Times New Roman" w:eastAsia="宋体" w:cs="Times New Roman"/>
                <w:color w:val="auto"/>
                <w:spacing w:val="0"/>
                <w:position w:val="0"/>
                <w:sz w:val="21"/>
                <w:szCs w:val="21"/>
              </w:rPr>
              <w:t>本项目</w:t>
            </w:r>
            <w:r>
              <w:rPr>
                <w:rFonts w:hint="eastAsia" w:cs="Times New Roman"/>
                <w:color w:val="auto"/>
                <w:spacing w:val="0"/>
                <w:position w:val="0"/>
                <w:sz w:val="21"/>
                <w:szCs w:val="21"/>
                <w:lang w:val="en-US" w:eastAsia="zh-CN"/>
              </w:rPr>
              <w:t>原生产线</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rPr>
              <w:t>总排放量为</w:t>
            </w:r>
            <w:r>
              <w:rPr>
                <w:rFonts w:hint="eastAsia" w:cs="Times New Roman"/>
                <w:color w:val="auto"/>
                <w:spacing w:val="0"/>
                <w:position w:val="0"/>
                <w:sz w:val="21"/>
                <w:szCs w:val="21"/>
                <w:lang w:val="en-US" w:eastAsia="zh-CN"/>
              </w:rPr>
              <w:t>6.5</w:t>
            </w:r>
            <w:r>
              <w:rPr>
                <w:rFonts w:hint="eastAsia" w:ascii="Times New Roman" w:hAnsi="Times New Roman" w:eastAsia="宋体" w:cs="Times New Roman"/>
                <w:color w:val="auto"/>
                <w:spacing w:val="0"/>
                <w:position w:val="0"/>
                <w:sz w:val="21"/>
                <w:szCs w:val="21"/>
              </w:rPr>
              <w:t>t/a</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lang w:val="en-US" w:eastAsia="zh-CN"/>
              </w:rPr>
              <w:t>原生产线</w:t>
            </w:r>
            <w:r>
              <w:rPr>
                <w:rFonts w:hint="eastAsia" w:cs="Times New Roman"/>
                <w:color w:val="auto"/>
                <w:spacing w:val="0"/>
                <w:position w:val="0"/>
                <w:sz w:val="21"/>
                <w:szCs w:val="21"/>
                <w:lang w:val="en-US" w:eastAsia="zh-CN"/>
              </w:rPr>
              <w:t>还需正常运行</w:t>
            </w:r>
            <w:r>
              <w:rPr>
                <w:rFonts w:hint="eastAsia" w:ascii="Times New Roman" w:hAnsi="Times New Roman" w:eastAsia="宋体" w:cs="Times New Roman"/>
                <w:color w:val="auto"/>
                <w:spacing w:val="0"/>
                <w:position w:val="0"/>
                <w:sz w:val="21"/>
                <w:szCs w:val="21"/>
                <w:lang w:val="en-US" w:eastAsia="zh-CN"/>
              </w:rPr>
              <w:t>，本项目</w:t>
            </w:r>
            <w:r>
              <w:rPr>
                <w:rFonts w:hint="eastAsia" w:cs="Times New Roman"/>
                <w:color w:val="auto"/>
                <w:spacing w:val="0"/>
                <w:position w:val="0"/>
                <w:sz w:val="21"/>
                <w:szCs w:val="21"/>
                <w:lang w:val="en-US" w:eastAsia="zh-CN"/>
              </w:rPr>
              <w:t>新建</w:t>
            </w:r>
            <w:r>
              <w:rPr>
                <w:rFonts w:hint="eastAsia" w:ascii="Times New Roman" w:hAnsi="Times New Roman" w:eastAsia="宋体" w:cs="Times New Roman"/>
                <w:color w:val="auto"/>
                <w:spacing w:val="0"/>
                <w:position w:val="0"/>
                <w:sz w:val="21"/>
                <w:szCs w:val="21"/>
                <w:lang w:val="en-US" w:eastAsia="zh-CN"/>
              </w:rPr>
              <w:t>生产线</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rPr>
              <w:t>总排放量为</w:t>
            </w:r>
            <w:r>
              <w:rPr>
                <w:rFonts w:hint="eastAsia" w:cs="Times New Roman"/>
                <w:color w:val="auto"/>
                <w:spacing w:val="0"/>
                <w:position w:val="0"/>
                <w:sz w:val="21"/>
                <w:szCs w:val="21"/>
                <w:lang w:val="en-US" w:eastAsia="zh-CN"/>
              </w:rPr>
              <w:t>2.16</w:t>
            </w:r>
            <w:r>
              <w:rPr>
                <w:rFonts w:hint="eastAsia" w:ascii="Times New Roman" w:hAnsi="Times New Roman" w:eastAsia="宋体" w:cs="Times New Roman"/>
                <w:color w:val="auto"/>
                <w:spacing w:val="0"/>
                <w:position w:val="0"/>
                <w:sz w:val="21"/>
                <w:szCs w:val="21"/>
              </w:rPr>
              <w:t>t/a</w:t>
            </w:r>
            <w:r>
              <w:rPr>
                <w:rFonts w:hint="eastAsia" w:ascii="Times New Roman" w:hAnsi="Times New Roman" w:eastAsia="宋体" w:cs="Times New Roman"/>
                <w:color w:val="auto"/>
                <w:spacing w:val="0"/>
                <w:position w:val="0"/>
                <w:sz w:val="21"/>
                <w:szCs w:val="21"/>
                <w:lang w:eastAsia="zh-CN"/>
              </w:rPr>
              <w:t>，</w:t>
            </w:r>
            <w:r>
              <w:rPr>
                <w:rFonts w:hint="eastAsia" w:cs="Times New Roman"/>
                <w:color w:val="auto"/>
                <w:spacing w:val="0"/>
                <w:position w:val="0"/>
                <w:sz w:val="21"/>
                <w:szCs w:val="21"/>
                <w:lang w:val="en-US" w:eastAsia="zh-CN"/>
              </w:rPr>
              <w:t>由于本项目位于“奎-独-乌”大气重点联防联控区域，</w:t>
            </w:r>
            <w:r>
              <w:rPr>
                <w:rFonts w:hint="eastAsia" w:ascii="Times New Roman" w:hAnsi="Times New Roman" w:eastAsia="宋体" w:cs="Times New Roman"/>
                <w:color w:val="auto"/>
                <w:spacing w:val="0"/>
                <w:position w:val="0"/>
                <w:sz w:val="21"/>
                <w:szCs w:val="21"/>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ascii="Times New Roman" w:hAnsi="Times New Roman" w:eastAsia="宋体" w:cs="Times New Roman"/>
                <w:color w:val="auto"/>
                <w:spacing w:val="0"/>
                <w:position w:val="0"/>
                <w:sz w:val="21"/>
                <w:szCs w:val="21"/>
                <w:vertAlign w:val="baseline"/>
                <w:lang w:val="en-US" w:eastAsia="zh-CN"/>
              </w:rPr>
              <w:t>要执行2倍量替代原则，则</w:t>
            </w:r>
            <w:r>
              <w:rPr>
                <w:rFonts w:hint="default" w:ascii="Times New Roman" w:hAnsi="Times New Roman" w:eastAsia="宋体" w:cs="Times New Roman"/>
                <w:color w:val="auto"/>
                <w:spacing w:val="0"/>
                <w:position w:val="0"/>
                <w:sz w:val="21"/>
                <w:szCs w:val="21"/>
                <w:vertAlign w:val="baseline"/>
                <w:lang w:val="en-US" w:eastAsia="zh-CN"/>
              </w:rPr>
              <w:t>本项目</w:t>
            </w:r>
            <w:r>
              <w:rPr>
                <w:rFonts w:hint="eastAsia" w:ascii="Times New Roman" w:hAnsi="Times New Roman" w:eastAsia="宋体" w:cs="Times New Roman"/>
                <w:color w:val="auto"/>
                <w:spacing w:val="0"/>
                <w:position w:val="0"/>
                <w:sz w:val="21"/>
                <w:szCs w:val="21"/>
                <w:vertAlign w:val="baseline"/>
                <w:lang w:val="en-US" w:eastAsia="zh-CN"/>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default" w:ascii="Times New Roman" w:hAnsi="Times New Roman" w:eastAsia="宋体" w:cs="Times New Roman"/>
                <w:color w:val="auto"/>
                <w:spacing w:val="0"/>
                <w:position w:val="0"/>
                <w:sz w:val="21"/>
                <w:szCs w:val="21"/>
                <w:vertAlign w:val="baseline"/>
                <w:lang w:val="en-US" w:eastAsia="zh-CN"/>
              </w:rPr>
              <w:t>总量控制指标倍量替代为4.32t</w:t>
            </w:r>
            <w:r>
              <w:rPr>
                <w:rFonts w:hint="eastAsia" w:ascii="Times New Roman" w:hAnsi="Times New Roman" w:eastAsia="宋体" w:cs="Times New Roman"/>
                <w:color w:val="auto"/>
                <w:spacing w:val="0"/>
                <w:position w:val="0"/>
                <w:sz w:val="21"/>
                <w:szCs w:val="21"/>
                <w:vertAlign w:val="baseline"/>
                <w:lang w:val="en-US" w:eastAsia="zh-CN"/>
              </w:rPr>
              <w:t>/</w:t>
            </w:r>
            <w:r>
              <w:rPr>
                <w:rFonts w:hint="default" w:ascii="Times New Roman" w:hAnsi="Times New Roman" w:eastAsia="宋体" w:cs="Times New Roman"/>
                <w:color w:val="auto"/>
                <w:spacing w:val="0"/>
                <w:position w:val="0"/>
                <w:sz w:val="21"/>
                <w:szCs w:val="21"/>
                <w:vertAlign w:val="baseline"/>
                <w:lang w:val="en-US" w:eastAsia="zh-CN"/>
              </w:rPr>
              <w:t>a</w:t>
            </w:r>
            <w:r>
              <w:rPr>
                <w:rFonts w:hint="eastAsia" w:ascii="Times New Roman" w:hAnsi="Times New Roman" w:eastAsia="宋体" w:cs="Times New Roman"/>
                <w:color w:val="auto"/>
                <w:spacing w:val="0"/>
                <w:position w:val="0"/>
                <w:sz w:val="21"/>
                <w:szCs w:val="21"/>
                <w:lang w:val="en-US" w:eastAsia="zh-CN"/>
              </w:rPr>
              <w:t>。</w:t>
            </w:r>
            <w:r>
              <w:rPr>
                <w:rFonts w:hint="eastAsia" w:cs="Times New Roman"/>
                <w:color w:val="auto"/>
                <w:spacing w:val="0"/>
                <w:position w:val="0"/>
                <w:sz w:val="21"/>
                <w:szCs w:val="21"/>
                <w:lang w:val="en-US" w:eastAsia="zh-CN"/>
              </w:rPr>
              <w:t>同时本项目原有生产线引用新的催化燃烧器处理有机废气，经过原有污染问题的计算得出使用新设备可以减少原生产线4.8</w:t>
            </w:r>
            <w:r>
              <w:rPr>
                <w:rFonts w:hint="default" w:ascii="Times New Roman" w:hAnsi="Times New Roman" w:eastAsia="宋体" w:cs="Times New Roman"/>
                <w:color w:val="auto"/>
                <w:spacing w:val="0"/>
                <w:position w:val="0"/>
                <w:sz w:val="21"/>
                <w:szCs w:val="21"/>
                <w:vertAlign w:val="baseline"/>
                <w:lang w:val="en-US" w:eastAsia="zh-CN"/>
              </w:rPr>
              <w:t>t</w:t>
            </w:r>
            <w:r>
              <w:rPr>
                <w:rFonts w:hint="eastAsia" w:ascii="Times New Roman" w:hAnsi="Times New Roman" w:eastAsia="宋体" w:cs="Times New Roman"/>
                <w:color w:val="auto"/>
                <w:spacing w:val="0"/>
                <w:position w:val="0"/>
                <w:sz w:val="21"/>
                <w:szCs w:val="21"/>
                <w:vertAlign w:val="baseline"/>
                <w:lang w:val="en-US" w:eastAsia="zh-CN"/>
              </w:rPr>
              <w:t>/</w:t>
            </w:r>
            <w:r>
              <w:rPr>
                <w:rFonts w:hint="default" w:ascii="Times New Roman" w:hAnsi="Times New Roman" w:eastAsia="宋体" w:cs="Times New Roman"/>
                <w:color w:val="auto"/>
                <w:spacing w:val="0"/>
                <w:position w:val="0"/>
                <w:sz w:val="21"/>
                <w:szCs w:val="21"/>
                <w:vertAlign w:val="baseline"/>
                <w:lang w:val="en-US" w:eastAsia="zh-CN"/>
              </w:rPr>
              <w:t>a</w:t>
            </w:r>
            <w:r>
              <w:rPr>
                <w:rFonts w:hint="eastAsia" w:cs="Times New Roman"/>
                <w:color w:val="auto"/>
                <w:spacing w:val="0"/>
                <w:position w:val="0"/>
                <w:sz w:val="21"/>
                <w:szCs w:val="21"/>
                <w:vertAlign w:val="baseline"/>
                <w:lang w:val="en-US" w:eastAsia="zh-CN"/>
              </w:rPr>
              <w:t>的</w:t>
            </w:r>
            <w:r>
              <w:rPr>
                <w:rFonts w:hint="eastAsia" w:ascii="Times New Roman" w:hAnsi="Times New Roman" w:eastAsia="宋体" w:cs="Times New Roman"/>
                <w:color w:val="auto"/>
                <w:spacing w:val="0"/>
                <w:position w:val="0"/>
                <w:sz w:val="21"/>
                <w:szCs w:val="21"/>
                <w:vertAlign w:val="baseline"/>
                <w:lang w:val="en-US" w:eastAsia="zh-CN"/>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eastAsia" w:cs="Times New Roman"/>
                <w:color w:val="auto"/>
                <w:spacing w:val="0"/>
                <w:position w:val="0"/>
                <w:sz w:val="21"/>
                <w:szCs w:val="21"/>
                <w:vertAlign w:val="baseline"/>
                <w:lang w:val="en-US" w:eastAsia="zh-CN"/>
              </w:rPr>
              <w:t>排量，扩建项目需要的</w:t>
            </w:r>
            <w:r>
              <w:rPr>
                <w:rFonts w:hint="eastAsia" w:ascii="Times New Roman" w:hAnsi="Times New Roman" w:eastAsia="宋体" w:cs="Times New Roman"/>
                <w:color w:val="auto"/>
                <w:spacing w:val="0"/>
                <w:position w:val="0"/>
                <w:sz w:val="21"/>
                <w:szCs w:val="21"/>
                <w:vertAlign w:val="baseline"/>
                <w:lang w:val="en-US" w:eastAsia="zh-CN"/>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default" w:ascii="Times New Roman" w:hAnsi="Times New Roman" w:eastAsia="宋体" w:cs="Times New Roman"/>
                <w:color w:val="auto"/>
                <w:spacing w:val="0"/>
                <w:position w:val="0"/>
                <w:sz w:val="21"/>
                <w:szCs w:val="21"/>
                <w:vertAlign w:val="baseline"/>
                <w:lang w:val="en-US" w:eastAsia="zh-CN"/>
              </w:rPr>
              <w:t>总量控制指标倍量替代为4.32t</w:t>
            </w:r>
            <w:r>
              <w:rPr>
                <w:rFonts w:hint="eastAsia" w:ascii="Times New Roman" w:hAnsi="Times New Roman" w:eastAsia="宋体" w:cs="Times New Roman"/>
                <w:color w:val="auto"/>
                <w:spacing w:val="0"/>
                <w:position w:val="0"/>
                <w:sz w:val="21"/>
                <w:szCs w:val="21"/>
                <w:vertAlign w:val="baseline"/>
                <w:lang w:val="en-US" w:eastAsia="zh-CN"/>
              </w:rPr>
              <w:t>/</w:t>
            </w:r>
            <w:r>
              <w:rPr>
                <w:rFonts w:hint="default" w:ascii="Times New Roman" w:hAnsi="Times New Roman" w:eastAsia="宋体" w:cs="Times New Roman"/>
                <w:color w:val="auto"/>
                <w:spacing w:val="0"/>
                <w:position w:val="0"/>
                <w:sz w:val="21"/>
                <w:szCs w:val="21"/>
                <w:vertAlign w:val="baseline"/>
                <w:lang w:val="en-US" w:eastAsia="zh-CN"/>
              </w:rPr>
              <w:t>a</w:t>
            </w:r>
            <w:r>
              <w:rPr>
                <w:rFonts w:hint="eastAsia" w:cs="Times New Roman"/>
                <w:color w:val="auto"/>
                <w:spacing w:val="0"/>
                <w:position w:val="0"/>
                <w:sz w:val="21"/>
                <w:szCs w:val="21"/>
                <w:vertAlign w:val="baseline"/>
                <w:lang w:val="en-US" w:eastAsia="zh-CN"/>
              </w:rPr>
              <w:t>小于4.8</w:t>
            </w:r>
            <w:r>
              <w:rPr>
                <w:rFonts w:hint="default" w:ascii="Times New Roman" w:hAnsi="Times New Roman" w:eastAsia="宋体" w:cs="Times New Roman"/>
                <w:color w:val="auto"/>
                <w:spacing w:val="0"/>
                <w:position w:val="0"/>
                <w:sz w:val="21"/>
                <w:szCs w:val="21"/>
                <w:vertAlign w:val="baseline"/>
                <w:lang w:val="en-US" w:eastAsia="zh-CN"/>
              </w:rPr>
              <w:t>t</w:t>
            </w:r>
            <w:r>
              <w:rPr>
                <w:rFonts w:hint="eastAsia" w:ascii="Times New Roman" w:hAnsi="Times New Roman" w:eastAsia="宋体" w:cs="Times New Roman"/>
                <w:color w:val="auto"/>
                <w:spacing w:val="0"/>
                <w:position w:val="0"/>
                <w:sz w:val="21"/>
                <w:szCs w:val="21"/>
                <w:vertAlign w:val="baseline"/>
                <w:lang w:val="en-US" w:eastAsia="zh-CN"/>
              </w:rPr>
              <w:t>/</w:t>
            </w:r>
            <w:r>
              <w:rPr>
                <w:rFonts w:hint="default" w:ascii="Times New Roman" w:hAnsi="Times New Roman" w:eastAsia="宋体" w:cs="Times New Roman"/>
                <w:color w:val="auto"/>
                <w:spacing w:val="0"/>
                <w:position w:val="0"/>
                <w:sz w:val="21"/>
                <w:szCs w:val="21"/>
                <w:vertAlign w:val="baseline"/>
                <w:lang w:val="en-US" w:eastAsia="zh-CN"/>
              </w:rPr>
              <w:t>a</w:t>
            </w:r>
            <w:r>
              <w:rPr>
                <w:rFonts w:hint="eastAsia" w:cs="Times New Roman"/>
                <w:color w:val="auto"/>
                <w:spacing w:val="0"/>
                <w:position w:val="0"/>
                <w:sz w:val="21"/>
                <w:szCs w:val="21"/>
                <w:vertAlign w:val="baseline"/>
                <w:lang w:val="en-US" w:eastAsia="zh-CN"/>
              </w:rPr>
              <w:t>，因此本项目无需再申请</w:t>
            </w:r>
            <w:r>
              <w:rPr>
                <w:rFonts w:hint="eastAsia" w:ascii="Times New Roman" w:hAnsi="Times New Roman" w:eastAsia="宋体" w:cs="Times New Roman"/>
                <w:color w:val="auto"/>
                <w:spacing w:val="0"/>
                <w:position w:val="0"/>
                <w:sz w:val="21"/>
                <w:szCs w:val="21"/>
                <w:vertAlign w:val="baseline"/>
                <w:lang w:val="en-US" w:eastAsia="zh-CN"/>
              </w:rPr>
              <w:t>VOC</w:t>
            </w:r>
            <w:r>
              <w:rPr>
                <w:rFonts w:hint="eastAsia" w:ascii="Times New Roman" w:hAnsi="Times New Roman" w:eastAsia="宋体" w:cs="Times New Roman"/>
                <w:color w:val="auto"/>
                <w:spacing w:val="0"/>
                <w:position w:val="0"/>
                <w:sz w:val="21"/>
                <w:szCs w:val="21"/>
                <w:vertAlign w:val="subscript"/>
                <w:lang w:val="en-US" w:eastAsia="zh-CN"/>
              </w:rPr>
              <w:t>S</w:t>
            </w:r>
            <w:r>
              <w:rPr>
                <w:rFonts w:hint="default" w:ascii="Times New Roman" w:hAnsi="Times New Roman" w:eastAsia="宋体" w:cs="Times New Roman"/>
                <w:color w:val="auto"/>
                <w:spacing w:val="0"/>
                <w:position w:val="0"/>
                <w:sz w:val="21"/>
                <w:szCs w:val="21"/>
                <w:vertAlign w:val="baseline"/>
                <w:lang w:val="en-US" w:eastAsia="zh-CN"/>
              </w:rPr>
              <w:t>总量控制指标</w:t>
            </w:r>
            <w:r>
              <w:rPr>
                <w:rFonts w:hint="eastAsia" w:cs="Times New Roman"/>
                <w:color w:val="auto"/>
                <w:spacing w:val="0"/>
                <w:position w:val="0"/>
                <w:sz w:val="21"/>
                <w:szCs w:val="21"/>
                <w:vertAlign w:val="baseline"/>
                <w:lang w:val="en-US" w:eastAsia="zh-CN"/>
              </w:rPr>
              <w:t>。</w:t>
            </w:r>
          </w:p>
          <w:p w14:paraId="6DDEEC79">
            <w:pPr>
              <w:pStyle w:val="5"/>
              <w:rPr>
                <w:rFonts w:hint="eastAsia"/>
                <w:color w:val="auto"/>
                <w:spacing w:val="0"/>
                <w:position w:val="0"/>
                <w:sz w:val="21"/>
                <w:szCs w:val="21"/>
              </w:rPr>
            </w:pPr>
          </w:p>
          <w:p w14:paraId="5092A936">
            <w:pPr>
              <w:pStyle w:val="5"/>
              <w:rPr>
                <w:rFonts w:hint="eastAsia"/>
              </w:rPr>
            </w:pPr>
          </w:p>
        </w:tc>
      </w:tr>
    </w:tbl>
    <w:p w14:paraId="47BD4B93">
      <w:pPr>
        <w:ind w:firstLine="600"/>
        <w:rPr>
          <w:rFonts w:eastAsia="黑体"/>
          <w:snapToGrid w:val="0"/>
          <w:color w:val="0000FF"/>
          <w:spacing w:val="0"/>
          <w:position w:val="0"/>
          <w:sz w:val="21"/>
          <w:szCs w:val="21"/>
        </w:rPr>
      </w:pPr>
      <w:r>
        <w:rPr>
          <w:rFonts w:eastAsia="黑体"/>
          <w:snapToGrid w:val="0"/>
          <w:color w:val="0000FF"/>
          <w:spacing w:val="0"/>
          <w:position w:val="0"/>
          <w:sz w:val="21"/>
          <w:szCs w:val="21"/>
        </w:rPr>
        <w:br w:type="page"/>
      </w:r>
    </w:p>
    <w:p w14:paraId="5D7A0F8D">
      <w:pPr>
        <w:pStyle w:val="25"/>
        <w:ind w:firstLine="0" w:firstLineChars="0"/>
        <w:jc w:val="center"/>
        <w:outlineLvl w:val="0"/>
        <w:rPr>
          <w:rFonts w:ascii="Times New Roman" w:hAnsi="Times New Roman" w:eastAsia="黑体"/>
          <w:snapToGrid w:val="0"/>
          <w:color w:val="auto"/>
          <w:spacing w:val="0"/>
          <w:position w:val="0"/>
          <w:sz w:val="30"/>
          <w:szCs w:val="30"/>
        </w:rPr>
      </w:pPr>
      <w:r>
        <w:rPr>
          <w:rFonts w:ascii="Times New Roman" w:hAnsi="Times New Roman" w:eastAsia="黑体"/>
          <w:snapToGrid w:val="0"/>
          <w:color w:val="auto"/>
          <w:spacing w:val="0"/>
          <w:position w:val="0"/>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1"/>
        <w:gridCol w:w="8740"/>
      </w:tblGrid>
      <w:tr w14:paraId="6064D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810" w:type="dxa"/>
            <w:tcMar>
              <w:left w:w="28" w:type="dxa"/>
              <w:right w:w="28" w:type="dxa"/>
            </w:tcMar>
            <w:vAlign w:val="center"/>
          </w:tcPr>
          <w:p w14:paraId="02D4153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6C1176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F5D707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3EAF73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492B1A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EBD213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4056B1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97C228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F0BD05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443C01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7B0DF3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B015C4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E7F613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5E24C0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4C47B2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F942EB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B38D69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44296C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AB03C2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7B1BD5A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21A6E7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7CFC7D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r>
              <w:rPr>
                <w:rFonts w:ascii="Times New Roman" w:hAnsi="Times New Roman"/>
                <w:color w:val="auto"/>
                <w:spacing w:val="0"/>
                <w:kern w:val="2"/>
                <w:position w:val="0"/>
                <w:sz w:val="21"/>
                <w:szCs w:val="21"/>
              </w:rPr>
              <w:t>施工期环境保护措施</w:t>
            </w:r>
          </w:p>
          <w:p w14:paraId="2BAE002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92A456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9E6EEC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0C81B6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943B6C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B5E615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B234F3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FB4AD2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0BF742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8F39BC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165FB0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E844E8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ADD045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3440FC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1268F2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3B82F9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7D8E4E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B74995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1425F4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1E14F1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990D82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0AB7AC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C9B187F">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540892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93B35F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3E91A3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874C60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1EBD0D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7814994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C23551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C2FD24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DE8BB4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D77486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E5A346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0F4B0C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r>
              <w:rPr>
                <w:rFonts w:ascii="Times New Roman" w:hAnsi="Times New Roman"/>
                <w:color w:val="auto"/>
                <w:spacing w:val="0"/>
                <w:kern w:val="2"/>
                <w:position w:val="0"/>
                <w:sz w:val="21"/>
                <w:szCs w:val="21"/>
              </w:rPr>
              <w:t>施工期环境保护措施</w:t>
            </w:r>
          </w:p>
          <w:p w14:paraId="7A05ADD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3AC0B8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3F295E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15A982C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0A38A1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DF3219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39384D5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F0A855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61BA246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FBCDC1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6F3ED5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86AB010">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18EEA8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A35879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75DBE00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53FE4EA5">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06CE69A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4E4FA0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22E913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49DFAC0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p w14:paraId="278057A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color w:val="auto"/>
                <w:spacing w:val="0"/>
                <w:kern w:val="2"/>
                <w:position w:val="0"/>
                <w:sz w:val="21"/>
                <w:szCs w:val="21"/>
              </w:rPr>
            </w:pPr>
          </w:p>
        </w:tc>
        <w:tc>
          <w:tcPr>
            <w:tcW w:w="8171" w:type="dxa"/>
            <w:vAlign w:val="center"/>
          </w:tcPr>
          <w:p w14:paraId="586CC07C">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rFonts w:hint="eastAsia" w:ascii="Times New Roman" w:hAnsi="Times New Roman" w:eastAsia="宋体" w:cs="Times New Roman"/>
                <w:b/>
                <w:bCs/>
                <w:color w:val="auto"/>
                <w:spacing w:val="0"/>
                <w:kern w:val="44"/>
                <w:position w:val="0"/>
                <w:sz w:val="21"/>
                <w:szCs w:val="21"/>
                <w:lang w:eastAsia="zh-CN"/>
              </w:rPr>
            </w:pPr>
            <w:bookmarkStart w:id="9" w:name="_Toc160615514"/>
            <w:bookmarkStart w:id="10" w:name="_Toc492786366"/>
            <w:bookmarkStart w:id="11" w:name="_Toc480518550"/>
            <w:bookmarkStart w:id="12" w:name="_Toc480188241"/>
            <w:bookmarkStart w:id="13" w:name="_Toc480529067"/>
            <w:r>
              <w:rPr>
                <w:rFonts w:ascii="Times New Roman" w:hAnsi="Times New Roman" w:eastAsia="宋体" w:cs="Times New Roman"/>
                <w:b/>
                <w:bCs/>
                <w:color w:val="auto"/>
                <w:spacing w:val="0"/>
                <w:kern w:val="44"/>
                <w:position w:val="0"/>
                <w:sz w:val="21"/>
                <w:szCs w:val="21"/>
              </w:rPr>
              <w:t>施工期环境</w:t>
            </w:r>
            <w:r>
              <w:rPr>
                <w:rFonts w:hint="eastAsia" w:cs="Times New Roman"/>
                <w:b/>
                <w:bCs/>
                <w:color w:val="auto"/>
                <w:spacing w:val="0"/>
                <w:kern w:val="44"/>
                <w:position w:val="0"/>
                <w:sz w:val="21"/>
                <w:szCs w:val="21"/>
                <w:lang w:val="en-US" w:eastAsia="zh-CN"/>
              </w:rPr>
              <w:t>影响</w:t>
            </w:r>
          </w:p>
          <w:p w14:paraId="782F0359">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本项目使用的厂房为已建成的厂房，根据项目实际需求，项目施工主要内容</w:t>
            </w:r>
            <w:r>
              <w:rPr>
                <w:rFonts w:hint="eastAsia" w:cs="Times New Roman"/>
                <w:color w:val="auto"/>
                <w:spacing w:val="0"/>
                <w:position w:val="0"/>
                <w:sz w:val="21"/>
                <w:szCs w:val="21"/>
                <w:lang w:val="en-US" w:eastAsia="zh-CN"/>
              </w:rPr>
              <w:t>在</w:t>
            </w:r>
            <w:r>
              <w:rPr>
                <w:rFonts w:hint="eastAsia" w:ascii="Times New Roman" w:hAnsi="Times New Roman" w:eastAsia="宋体" w:cs="Times New Roman"/>
                <w:color w:val="auto"/>
                <w:spacing w:val="0"/>
                <w:position w:val="0"/>
                <w:sz w:val="21"/>
                <w:szCs w:val="21"/>
                <w:lang w:val="en-US" w:eastAsia="zh-CN"/>
              </w:rPr>
              <w:t>厂房内部安装</w:t>
            </w:r>
            <w:r>
              <w:rPr>
                <w:rFonts w:hint="eastAsia" w:cs="Times New Roman"/>
                <w:color w:val="auto"/>
                <w:spacing w:val="0"/>
                <w:position w:val="0"/>
                <w:sz w:val="21"/>
                <w:szCs w:val="21"/>
                <w:lang w:val="en-US" w:eastAsia="zh-CN"/>
              </w:rPr>
              <w:t>设备</w:t>
            </w:r>
            <w:r>
              <w:rPr>
                <w:rFonts w:hint="eastAsia" w:ascii="Times New Roman" w:hAnsi="Times New Roman" w:eastAsia="宋体" w:cs="Times New Roman"/>
                <w:color w:val="auto"/>
                <w:spacing w:val="0"/>
                <w:position w:val="0"/>
                <w:sz w:val="21"/>
                <w:szCs w:val="21"/>
                <w:lang w:val="en-US" w:eastAsia="zh-CN"/>
              </w:rPr>
              <w:t>，不涉及场地平整、基础开挖、房屋建设等土建工程。本项目施工期周期较短，产生的污染物较少，</w:t>
            </w:r>
            <w:r>
              <w:rPr>
                <w:rFonts w:hint="eastAsia" w:cs="Times New Roman"/>
                <w:color w:val="auto"/>
                <w:spacing w:val="0"/>
                <w:position w:val="0"/>
                <w:sz w:val="21"/>
                <w:szCs w:val="21"/>
                <w:lang w:val="en-US" w:eastAsia="zh-CN"/>
              </w:rPr>
              <w:t>主要为机械产生的废气及噪声，还有少量一般固废如包装袋等，</w:t>
            </w:r>
            <w:r>
              <w:rPr>
                <w:rFonts w:hint="eastAsia" w:ascii="Times New Roman" w:hAnsi="Times New Roman" w:eastAsia="宋体" w:cs="Times New Roman"/>
                <w:color w:val="auto"/>
                <w:spacing w:val="0"/>
                <w:position w:val="0"/>
                <w:sz w:val="21"/>
                <w:szCs w:val="21"/>
                <w:lang w:val="en-US" w:eastAsia="zh-CN"/>
              </w:rPr>
              <w:t>且施工期产生的污染随着施工期结束而消失，对周围环境的影响较小，且是暂时的。</w:t>
            </w:r>
          </w:p>
          <w:p w14:paraId="78430BAD">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rFonts w:ascii="Times New Roman" w:hAnsi="Times New Roman" w:eastAsia="宋体" w:cs="Times New Roman"/>
                <w:b/>
                <w:bCs/>
                <w:color w:val="auto"/>
                <w:spacing w:val="0"/>
                <w:kern w:val="44"/>
                <w:position w:val="0"/>
                <w:sz w:val="21"/>
                <w:szCs w:val="21"/>
              </w:rPr>
            </w:pPr>
            <w:r>
              <w:rPr>
                <w:rFonts w:ascii="Times New Roman" w:hAnsi="Times New Roman" w:eastAsia="宋体" w:cs="Times New Roman"/>
                <w:b/>
                <w:bCs/>
                <w:color w:val="auto"/>
                <w:spacing w:val="0"/>
                <w:kern w:val="44"/>
                <w:position w:val="0"/>
                <w:sz w:val="21"/>
                <w:szCs w:val="21"/>
              </w:rPr>
              <w:t>施工期环境保护措施</w:t>
            </w:r>
          </w:p>
          <w:p w14:paraId="7C9F21ED">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本项目位于</w:t>
            </w:r>
            <w:r>
              <w:rPr>
                <w:rFonts w:hint="eastAsia" w:cs="Times New Roman"/>
                <w:b w:val="0"/>
                <w:bCs/>
                <w:color w:val="auto"/>
                <w:spacing w:val="0"/>
                <w:position w:val="0"/>
                <w:sz w:val="21"/>
                <w:szCs w:val="21"/>
                <w:lang w:val="en-US" w:eastAsia="zh-CN"/>
              </w:rPr>
              <w:t>第七师</w:t>
            </w:r>
            <w:r>
              <w:rPr>
                <w:rFonts w:hint="eastAsia" w:ascii="Times New Roman" w:hAnsi="Times New Roman" w:cs="Times New Roman"/>
                <w:b w:val="0"/>
                <w:bCs/>
                <w:color w:val="auto"/>
                <w:spacing w:val="0"/>
                <w:position w:val="0"/>
                <w:sz w:val="21"/>
                <w:szCs w:val="21"/>
                <w:lang w:val="en-US" w:eastAsia="zh-CN"/>
              </w:rPr>
              <w:t>天北经济技术开发区</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本项目利用现有空置生产厂房进行本项目设置</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由于施工单位只进行设备安装</w:t>
            </w:r>
            <w:r>
              <w:rPr>
                <w:rFonts w:hint="default" w:ascii="Times New Roman" w:hAnsi="Times New Roman" w:eastAsia="宋体" w:cs="Times New Roman"/>
                <w:color w:val="auto"/>
                <w:spacing w:val="0"/>
                <w:position w:val="0"/>
                <w:sz w:val="21"/>
                <w:szCs w:val="21"/>
                <w:lang w:val="en-US" w:eastAsia="zh-CN"/>
              </w:rPr>
              <w:t>，项目整体施工工程量较小，在施工期间，可采取以下措施：</w:t>
            </w:r>
          </w:p>
          <w:bookmarkEnd w:id="9"/>
          <w:p w14:paraId="66755D4F">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rFonts w:hint="eastAsia" w:ascii="Times New Roman" w:hAnsi="Times New Roman" w:eastAsia="宋体" w:cs="Times New Roman"/>
                <w:b/>
                <w:bCs/>
                <w:color w:val="auto"/>
                <w:spacing w:val="0"/>
                <w:kern w:val="44"/>
                <w:position w:val="0"/>
                <w:sz w:val="21"/>
                <w:szCs w:val="21"/>
              </w:rPr>
            </w:pPr>
            <w:r>
              <w:rPr>
                <w:rFonts w:hint="eastAsia" w:ascii="Times New Roman" w:hAnsi="Times New Roman" w:eastAsia="宋体" w:cs="Times New Roman"/>
                <w:b/>
                <w:bCs/>
                <w:color w:val="auto"/>
                <w:spacing w:val="0"/>
                <w:kern w:val="44"/>
                <w:position w:val="0"/>
                <w:sz w:val="21"/>
                <w:szCs w:val="21"/>
              </w:rPr>
              <w:t>1</w:t>
            </w:r>
            <w:r>
              <w:rPr>
                <w:rFonts w:hint="eastAsia" w:ascii="Times New Roman" w:hAnsi="Times New Roman" w:eastAsia="宋体" w:cs="Times New Roman"/>
                <w:b/>
                <w:bCs/>
                <w:color w:val="auto"/>
                <w:spacing w:val="0"/>
                <w:kern w:val="44"/>
                <w:position w:val="0"/>
                <w:sz w:val="21"/>
                <w:szCs w:val="21"/>
                <w:lang w:eastAsia="zh-CN"/>
              </w:rPr>
              <w:t>、</w:t>
            </w:r>
            <w:r>
              <w:rPr>
                <w:rFonts w:hint="eastAsia" w:ascii="Times New Roman" w:hAnsi="Times New Roman" w:eastAsia="宋体" w:cs="Times New Roman"/>
                <w:b/>
                <w:bCs/>
                <w:color w:val="auto"/>
                <w:spacing w:val="0"/>
                <w:kern w:val="44"/>
                <w:position w:val="0"/>
                <w:sz w:val="21"/>
                <w:szCs w:val="21"/>
              </w:rPr>
              <w:t>施工期大气环境保护措施</w:t>
            </w:r>
          </w:p>
          <w:p w14:paraId="3AF50A1A">
            <w:pPr>
              <w:pageBreakBefore w:val="0"/>
              <w:widowControl w:val="0"/>
              <w:kinsoku/>
              <w:wordWrap/>
              <w:overflowPunct/>
              <w:topLinePunct w:val="0"/>
              <w:autoSpaceDE/>
              <w:autoSpaceDN/>
              <w:bidi w:val="0"/>
              <w:adjustRightInd/>
              <w:snapToGrid/>
              <w:spacing w:line="360" w:lineRule="auto"/>
              <w:ind w:firstLine="560"/>
              <w:textAlignment w:val="auto"/>
              <w:rPr>
                <w:rFonts w:hint="eastAsia"/>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val="en-US" w:eastAsia="zh-CN"/>
              </w:rPr>
              <w:t>施工期生产设备运输车辆行驶产生的扬尘，采取低速行驶、适量洒水降尘的措施减缓其对周围环境的影响；施工运输设备和一些动力设备运行将排放尾气，尾气中主要污染物为CO、NOx、THC。本项目施工期使用的运输设备和动力设备较少，排放量较小，加之场地空气流动性好，因此不会对区域环境空气质量产生不利的影响。</w:t>
            </w:r>
            <w:r>
              <w:rPr>
                <w:rFonts w:hint="eastAsia"/>
                <w:color w:val="auto"/>
                <w:spacing w:val="0"/>
                <w:position w:val="0"/>
                <w:sz w:val="21"/>
                <w:szCs w:val="21"/>
                <w:lang w:eastAsia="zh-CN"/>
              </w:rPr>
              <w:t>为了更好地</w:t>
            </w:r>
            <w:r>
              <w:rPr>
                <w:color w:val="auto"/>
                <w:spacing w:val="0"/>
                <w:position w:val="0"/>
                <w:sz w:val="21"/>
                <w:szCs w:val="21"/>
              </w:rPr>
              <w:t>减轻施工噪声对周边环境产生的影响，可采取下列措施</w:t>
            </w:r>
            <w:r>
              <w:rPr>
                <w:rFonts w:hint="eastAsia"/>
                <w:color w:val="auto"/>
                <w:spacing w:val="0"/>
                <w:position w:val="0"/>
                <w:sz w:val="21"/>
                <w:szCs w:val="21"/>
                <w:lang w:eastAsia="zh-CN"/>
              </w:rPr>
              <w:t>：</w:t>
            </w:r>
          </w:p>
          <w:p w14:paraId="39F2A3C5">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 xml:space="preserve">①在厂房内部和外部施工过程中，作业场地将采取围挡、半围挡以减少扬尘扩散，围挡、半围挡对减少扬尘对环境的污染有明显作用； </w:t>
            </w:r>
          </w:p>
          <w:p w14:paraId="33C1B41B">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 xml:space="preserve">②加强物料转运与使用的管理，合理装卸、规范操作。运输建筑材料的车辆，应加盖蓬布减少洒落。同时，限制车速； </w:t>
            </w:r>
          </w:p>
          <w:p w14:paraId="2B2EDCC0">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 xml:space="preserve">③运输车辆和施工机械在怠速、减速和加速时产生的尾气污染最为严重，因此施工现场运输车辆和部分施工机械应控制车速平稳，以减少行驶中的尾气污染； </w:t>
            </w:r>
          </w:p>
          <w:p w14:paraId="4BDCFFD3">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④运输车应加盖并低速行驶或限速行驶，以减少产尘量。装运物料、建筑垃圾的车辆要遮盖封闭并按相关管理部门批准的路线、时间、地点倾倒，禁止车辆超载</w:t>
            </w:r>
            <w:r>
              <w:rPr>
                <w:rFonts w:hint="eastAsia" w:cs="Times New Roman"/>
                <w:color w:val="auto"/>
                <w:spacing w:val="0"/>
                <w:position w:val="0"/>
                <w:sz w:val="21"/>
                <w:szCs w:val="21"/>
                <w:lang w:val="en-US" w:eastAsia="zh-CN"/>
              </w:rPr>
              <w:t>。</w:t>
            </w:r>
          </w:p>
          <w:p w14:paraId="471BEBED">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rFonts w:hint="eastAsia" w:ascii="Times New Roman" w:hAnsi="Times New Roman" w:eastAsia="宋体" w:cs="Times New Roman"/>
                <w:b/>
                <w:bCs/>
                <w:color w:val="auto"/>
                <w:spacing w:val="0"/>
                <w:kern w:val="44"/>
                <w:position w:val="0"/>
                <w:sz w:val="21"/>
                <w:szCs w:val="21"/>
              </w:rPr>
            </w:pPr>
            <w:bookmarkStart w:id="14" w:name="_Toc160615518"/>
            <w:r>
              <w:rPr>
                <w:rFonts w:hint="eastAsia" w:ascii="Times New Roman" w:hAnsi="Times New Roman" w:eastAsia="宋体" w:cs="Times New Roman"/>
                <w:b/>
                <w:bCs/>
                <w:color w:val="auto"/>
                <w:spacing w:val="0"/>
                <w:kern w:val="44"/>
                <w:position w:val="0"/>
                <w:sz w:val="21"/>
                <w:szCs w:val="21"/>
              </w:rPr>
              <w:t>2</w:t>
            </w:r>
            <w:r>
              <w:rPr>
                <w:rFonts w:hint="eastAsia" w:ascii="Times New Roman" w:hAnsi="Times New Roman" w:eastAsia="宋体" w:cs="Times New Roman"/>
                <w:b/>
                <w:bCs/>
                <w:color w:val="auto"/>
                <w:spacing w:val="0"/>
                <w:kern w:val="44"/>
                <w:position w:val="0"/>
                <w:sz w:val="21"/>
                <w:szCs w:val="21"/>
                <w:lang w:eastAsia="zh-CN"/>
              </w:rPr>
              <w:t>、</w:t>
            </w:r>
            <w:r>
              <w:rPr>
                <w:rFonts w:hint="eastAsia" w:ascii="Times New Roman" w:hAnsi="Times New Roman" w:eastAsia="宋体" w:cs="Times New Roman"/>
                <w:b/>
                <w:bCs/>
                <w:color w:val="auto"/>
                <w:spacing w:val="0"/>
                <w:kern w:val="44"/>
                <w:position w:val="0"/>
                <w:sz w:val="21"/>
                <w:szCs w:val="21"/>
              </w:rPr>
              <w:t>施工期水环境保护措施</w:t>
            </w:r>
          </w:p>
          <w:p w14:paraId="60F90CBA">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施工期</w:t>
            </w:r>
            <w:r>
              <w:rPr>
                <w:rFonts w:hint="eastAsia" w:ascii="Times New Roman" w:hAnsi="Times New Roman" w:eastAsia="宋体" w:cs="Times New Roman"/>
                <w:color w:val="auto"/>
                <w:spacing w:val="0"/>
                <w:position w:val="0"/>
                <w:sz w:val="21"/>
                <w:szCs w:val="21"/>
              </w:rPr>
              <w:t>不设置施工营地，</w:t>
            </w:r>
            <w:r>
              <w:rPr>
                <w:rFonts w:hint="eastAsia" w:ascii="Times New Roman" w:hAnsi="Times New Roman" w:eastAsia="宋体" w:cs="Times New Roman"/>
                <w:color w:val="auto"/>
                <w:spacing w:val="0"/>
                <w:position w:val="0"/>
                <w:sz w:val="21"/>
                <w:szCs w:val="21"/>
                <w:lang w:val="en-US" w:eastAsia="zh-CN"/>
              </w:rPr>
              <w:t>厂区内有员工宿舍</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rPr>
              <w:t>由于施工单位只进行设备安装，项目整体施工工程量较小，设备安装</w:t>
            </w:r>
            <w:r>
              <w:rPr>
                <w:rFonts w:hint="eastAsia" w:cs="Times New Roman"/>
                <w:color w:val="auto"/>
                <w:spacing w:val="0"/>
                <w:position w:val="0"/>
                <w:sz w:val="21"/>
                <w:szCs w:val="21"/>
                <w:lang w:val="en-US" w:eastAsia="zh-CN"/>
              </w:rPr>
              <w:t>2</w:t>
            </w:r>
            <w:r>
              <w:rPr>
                <w:rFonts w:hint="eastAsia" w:ascii="Times New Roman" w:hAnsi="Times New Roman" w:eastAsia="宋体" w:cs="Times New Roman"/>
                <w:color w:val="auto"/>
                <w:spacing w:val="0"/>
                <w:position w:val="0"/>
                <w:sz w:val="21"/>
                <w:szCs w:val="21"/>
              </w:rPr>
              <w:t>个月完成后，其余时间为设备调试，施工周期短，调试人员少，厂区设施齐备，</w:t>
            </w:r>
            <w:r>
              <w:rPr>
                <w:rFonts w:hint="eastAsia" w:cs="Times New Roman"/>
                <w:color w:val="auto"/>
                <w:spacing w:val="0"/>
                <w:position w:val="0"/>
                <w:sz w:val="21"/>
                <w:szCs w:val="21"/>
                <w:lang w:val="en-US" w:eastAsia="zh-CN"/>
              </w:rPr>
              <w:t>规定员工上厕所使用</w:t>
            </w:r>
            <w:r>
              <w:rPr>
                <w:rFonts w:hint="eastAsia" w:ascii="Times New Roman" w:hAnsi="Times New Roman" w:eastAsia="宋体" w:cs="Times New Roman"/>
                <w:color w:val="auto"/>
                <w:spacing w:val="0"/>
                <w:position w:val="0"/>
                <w:sz w:val="21"/>
                <w:szCs w:val="21"/>
              </w:rPr>
              <w:t>厂区现有厕所</w:t>
            </w:r>
            <w:r>
              <w:rPr>
                <w:rFonts w:hint="eastAsia" w:cs="Times New Roman"/>
                <w:color w:val="auto"/>
                <w:spacing w:val="0"/>
                <w:position w:val="0"/>
                <w:sz w:val="21"/>
                <w:szCs w:val="21"/>
                <w:lang w:eastAsia="zh-CN"/>
              </w:rPr>
              <w:t>，</w:t>
            </w:r>
            <w:r>
              <w:rPr>
                <w:rFonts w:hint="eastAsia" w:cs="Times New Roman"/>
                <w:color w:val="auto"/>
                <w:spacing w:val="0"/>
                <w:position w:val="0"/>
                <w:sz w:val="21"/>
                <w:szCs w:val="21"/>
                <w:lang w:val="en-US" w:eastAsia="zh-CN"/>
              </w:rPr>
              <w:t>厕所的生活污水排入园区污水管网由北经开区污水处理厂处理。</w:t>
            </w:r>
          </w:p>
          <w:bookmarkEnd w:id="14"/>
          <w:p w14:paraId="0D472178">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b/>
                <w:bCs/>
                <w:color w:val="auto"/>
                <w:spacing w:val="0"/>
                <w:kern w:val="44"/>
                <w:position w:val="0"/>
                <w:sz w:val="21"/>
                <w:szCs w:val="21"/>
              </w:rPr>
            </w:pPr>
            <w:r>
              <w:rPr>
                <w:b/>
                <w:bCs/>
                <w:color w:val="auto"/>
                <w:spacing w:val="0"/>
                <w:kern w:val="44"/>
                <w:position w:val="0"/>
                <w:sz w:val="21"/>
                <w:szCs w:val="21"/>
              </w:rPr>
              <w:t>3</w:t>
            </w:r>
            <w:r>
              <w:rPr>
                <w:rFonts w:hint="eastAsia"/>
                <w:b/>
                <w:bCs/>
                <w:color w:val="auto"/>
                <w:spacing w:val="0"/>
                <w:kern w:val="44"/>
                <w:position w:val="0"/>
                <w:sz w:val="21"/>
                <w:szCs w:val="21"/>
              </w:rPr>
              <w:t>、</w:t>
            </w:r>
            <w:r>
              <w:rPr>
                <w:b/>
                <w:bCs/>
                <w:color w:val="auto"/>
                <w:spacing w:val="0"/>
                <w:kern w:val="44"/>
                <w:position w:val="0"/>
                <w:sz w:val="21"/>
                <w:szCs w:val="21"/>
              </w:rPr>
              <w:t>声环境影响分析</w:t>
            </w:r>
            <w:bookmarkEnd w:id="10"/>
            <w:bookmarkEnd w:id="11"/>
            <w:bookmarkEnd w:id="12"/>
            <w:bookmarkEnd w:id="13"/>
            <w:r>
              <w:rPr>
                <w:b/>
                <w:bCs/>
                <w:color w:val="auto"/>
                <w:spacing w:val="0"/>
                <w:kern w:val="44"/>
                <w:position w:val="0"/>
                <w:sz w:val="21"/>
                <w:szCs w:val="21"/>
              </w:rPr>
              <w:t>及防治措施</w:t>
            </w:r>
          </w:p>
          <w:p w14:paraId="0D94F737">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噪声是本项目施工期对环境的污染物之一，施工期结束，噪声污染也随</w:t>
            </w:r>
            <w:r>
              <w:rPr>
                <w:rFonts w:hint="eastAsia"/>
                <w:color w:val="auto"/>
                <w:spacing w:val="0"/>
                <w:position w:val="0"/>
                <w:sz w:val="21"/>
                <w:szCs w:val="21"/>
                <w:lang w:eastAsia="zh-CN"/>
              </w:rPr>
              <w:t>之</w:t>
            </w:r>
            <w:r>
              <w:rPr>
                <w:color w:val="auto"/>
                <w:spacing w:val="0"/>
                <w:position w:val="0"/>
                <w:sz w:val="21"/>
                <w:szCs w:val="21"/>
              </w:rPr>
              <w:t>消失。</w:t>
            </w:r>
            <w:r>
              <w:rPr>
                <w:rFonts w:hint="eastAsia"/>
                <w:color w:val="auto"/>
                <w:spacing w:val="0"/>
                <w:position w:val="0"/>
                <w:sz w:val="21"/>
                <w:szCs w:val="21"/>
              </w:rPr>
              <w:t>本项目噪声源主要为机械设备、运输车辆、物料装卸、基础建设以及施工人员活动，声压级约</w:t>
            </w:r>
            <w:r>
              <w:rPr>
                <w:rFonts w:hint="eastAsia"/>
                <w:color w:val="auto"/>
                <w:spacing w:val="0"/>
                <w:position w:val="0"/>
                <w:sz w:val="21"/>
                <w:szCs w:val="21"/>
                <w:lang w:val="en-US" w:eastAsia="zh-CN"/>
              </w:rPr>
              <w:t>9</w:t>
            </w:r>
            <w:r>
              <w:rPr>
                <w:rFonts w:hint="eastAsia"/>
                <w:color w:val="auto"/>
                <w:spacing w:val="0"/>
                <w:position w:val="0"/>
                <w:sz w:val="21"/>
                <w:szCs w:val="21"/>
              </w:rPr>
              <w:t>5~1</w:t>
            </w:r>
            <w:r>
              <w:rPr>
                <w:rFonts w:hint="eastAsia"/>
                <w:color w:val="auto"/>
                <w:spacing w:val="0"/>
                <w:position w:val="0"/>
                <w:sz w:val="21"/>
                <w:szCs w:val="21"/>
                <w:lang w:val="en-US" w:eastAsia="zh-CN"/>
              </w:rPr>
              <w:t>05</w:t>
            </w:r>
            <w:r>
              <w:rPr>
                <w:rFonts w:hint="eastAsia"/>
                <w:color w:val="auto"/>
                <w:spacing w:val="0"/>
                <w:position w:val="0"/>
                <w:sz w:val="21"/>
                <w:szCs w:val="21"/>
              </w:rPr>
              <w:t>dB（A），</w:t>
            </w:r>
            <w:r>
              <w:rPr>
                <w:rFonts w:hint="eastAsia"/>
                <w:color w:val="auto"/>
                <w:spacing w:val="0"/>
                <w:position w:val="0"/>
                <w:sz w:val="21"/>
                <w:szCs w:val="21"/>
                <w:lang w:eastAsia="zh-CN"/>
              </w:rPr>
              <w:t>为了更好地</w:t>
            </w:r>
            <w:r>
              <w:rPr>
                <w:color w:val="auto"/>
                <w:spacing w:val="0"/>
                <w:position w:val="0"/>
                <w:sz w:val="21"/>
                <w:szCs w:val="21"/>
              </w:rPr>
              <w:t>减轻施工噪声对周边环境产生的影响，可采取下列措施。</w:t>
            </w:r>
          </w:p>
          <w:p w14:paraId="1F175BC1">
            <w:pPr>
              <w:pageBreakBefore w:val="0"/>
              <w:widowControl w:val="0"/>
              <w:kinsoku/>
              <w:wordWrap/>
              <w:overflowPunct/>
              <w:topLinePunct w:val="0"/>
              <w:autoSpaceDE/>
              <w:autoSpaceDN/>
              <w:bidi w:val="0"/>
              <w:adjustRightInd/>
              <w:snapToGrid/>
              <w:spacing w:line="360" w:lineRule="auto"/>
              <w:ind w:firstLine="562"/>
              <w:textAlignment w:val="auto"/>
              <w:rPr>
                <w:b/>
                <w:color w:val="auto"/>
                <w:spacing w:val="0"/>
                <w:position w:val="0"/>
                <w:sz w:val="21"/>
                <w:szCs w:val="21"/>
              </w:rPr>
            </w:pPr>
            <w:r>
              <w:rPr>
                <w:b/>
                <w:color w:val="auto"/>
                <w:spacing w:val="0"/>
                <w:position w:val="0"/>
                <w:sz w:val="21"/>
                <w:szCs w:val="21"/>
              </w:rPr>
              <w:t>防治措施：</w:t>
            </w:r>
          </w:p>
          <w:p w14:paraId="781D508F">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（1）制定施工计划时，应尽可能避免大量噪声设备同时使用，合理安排施工作业时间，夜间禁止施工。</w:t>
            </w:r>
          </w:p>
          <w:p w14:paraId="100BC696">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（2）避免在同一地点安排大量动力机械设备，以免局部声级过高。</w:t>
            </w:r>
          </w:p>
          <w:p w14:paraId="78F8707D">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w:t>
            </w:r>
            <w:r>
              <w:rPr>
                <w:rFonts w:hint="eastAsia"/>
                <w:color w:val="auto"/>
                <w:spacing w:val="0"/>
                <w:position w:val="0"/>
                <w:sz w:val="21"/>
                <w:szCs w:val="21"/>
                <w:lang w:val="en-US" w:eastAsia="zh-CN"/>
              </w:rPr>
              <w:t>3</w:t>
            </w:r>
            <w:r>
              <w:rPr>
                <w:color w:val="auto"/>
                <w:spacing w:val="0"/>
                <w:position w:val="0"/>
                <w:sz w:val="21"/>
                <w:szCs w:val="21"/>
              </w:rPr>
              <w:t>）加强对设备的维护、养护，闲置设备应立即关闭。尽可能采用外加工材料，减少现场加工的工作量。</w:t>
            </w:r>
          </w:p>
          <w:p w14:paraId="3502DBDD">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w:t>
            </w:r>
            <w:r>
              <w:rPr>
                <w:rFonts w:hint="eastAsia"/>
                <w:color w:val="auto"/>
                <w:spacing w:val="0"/>
                <w:position w:val="0"/>
                <w:sz w:val="21"/>
                <w:szCs w:val="21"/>
                <w:lang w:val="en-US" w:eastAsia="zh-CN"/>
              </w:rPr>
              <w:t>4</w:t>
            </w:r>
            <w:r>
              <w:rPr>
                <w:color w:val="auto"/>
                <w:spacing w:val="0"/>
                <w:position w:val="0"/>
                <w:sz w:val="21"/>
                <w:szCs w:val="21"/>
              </w:rPr>
              <w:t>）按操作规范操作机械设备等过程中减少碰撞噪声，并对工人进行环保方面的教育。在装卸进程中，禁止野蛮作业，减少作业噪声。</w:t>
            </w:r>
          </w:p>
          <w:p w14:paraId="4B372BE1">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color w:val="auto"/>
                <w:spacing w:val="0"/>
                <w:position w:val="0"/>
                <w:sz w:val="21"/>
                <w:szCs w:val="21"/>
              </w:rPr>
              <w:t>由于施工期噪声为间歇性和暂时性的影响，因此待施工结束后，影响也随即消失。</w:t>
            </w:r>
          </w:p>
          <w:p w14:paraId="31A700F4">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b/>
                <w:bCs/>
                <w:color w:val="auto"/>
                <w:spacing w:val="0"/>
                <w:kern w:val="44"/>
                <w:position w:val="0"/>
                <w:sz w:val="21"/>
                <w:szCs w:val="21"/>
              </w:rPr>
            </w:pPr>
            <w:bookmarkStart w:id="15" w:name="_Toc492786367"/>
            <w:bookmarkStart w:id="16" w:name="_Toc480529068"/>
            <w:bookmarkStart w:id="17" w:name="_Toc480188242"/>
            <w:bookmarkStart w:id="18" w:name="_Toc480518551"/>
            <w:r>
              <w:rPr>
                <w:b/>
                <w:bCs/>
                <w:color w:val="auto"/>
                <w:spacing w:val="0"/>
                <w:kern w:val="44"/>
                <w:position w:val="0"/>
                <w:sz w:val="21"/>
                <w:szCs w:val="21"/>
              </w:rPr>
              <w:t>4</w:t>
            </w:r>
            <w:r>
              <w:rPr>
                <w:rFonts w:hint="eastAsia"/>
                <w:b/>
                <w:bCs/>
                <w:color w:val="auto"/>
                <w:spacing w:val="0"/>
                <w:kern w:val="44"/>
                <w:position w:val="0"/>
                <w:sz w:val="21"/>
                <w:szCs w:val="21"/>
              </w:rPr>
              <w:t>、</w:t>
            </w:r>
            <w:r>
              <w:rPr>
                <w:b/>
                <w:bCs/>
                <w:color w:val="auto"/>
                <w:spacing w:val="0"/>
                <w:kern w:val="44"/>
                <w:position w:val="0"/>
                <w:sz w:val="21"/>
                <w:szCs w:val="21"/>
              </w:rPr>
              <w:t>固体废物环境影响分析</w:t>
            </w:r>
            <w:bookmarkEnd w:id="15"/>
            <w:bookmarkEnd w:id="16"/>
            <w:bookmarkEnd w:id="17"/>
            <w:bookmarkEnd w:id="18"/>
            <w:r>
              <w:rPr>
                <w:b/>
                <w:bCs/>
                <w:color w:val="auto"/>
                <w:spacing w:val="0"/>
                <w:kern w:val="44"/>
                <w:position w:val="0"/>
                <w:sz w:val="21"/>
                <w:szCs w:val="21"/>
              </w:rPr>
              <w:t>及防治措施</w:t>
            </w:r>
          </w:p>
          <w:p w14:paraId="169A68B1">
            <w:pPr>
              <w:pageBreakBefore w:val="0"/>
              <w:widowControl w:val="0"/>
              <w:kinsoku/>
              <w:wordWrap/>
              <w:overflowPunct/>
              <w:topLinePunct w:val="0"/>
              <w:autoSpaceDE/>
              <w:autoSpaceDN/>
              <w:bidi w:val="0"/>
              <w:adjustRightInd/>
              <w:snapToGrid/>
              <w:spacing w:line="360" w:lineRule="auto"/>
              <w:ind w:firstLine="560"/>
              <w:textAlignment w:val="auto"/>
              <w:rPr>
                <w:color w:val="auto"/>
                <w:spacing w:val="0"/>
                <w:position w:val="0"/>
                <w:sz w:val="21"/>
                <w:szCs w:val="21"/>
              </w:rPr>
            </w:pPr>
            <w:r>
              <w:rPr>
                <w:rFonts w:hint="eastAsia"/>
                <w:color w:val="auto"/>
                <w:spacing w:val="0"/>
                <w:position w:val="0"/>
                <w:sz w:val="21"/>
                <w:szCs w:val="21"/>
              </w:rPr>
              <w:t>本项目属于</w:t>
            </w:r>
            <w:r>
              <w:rPr>
                <w:rFonts w:hint="eastAsia"/>
                <w:color w:val="auto"/>
                <w:spacing w:val="0"/>
                <w:position w:val="0"/>
                <w:sz w:val="21"/>
                <w:szCs w:val="21"/>
                <w:lang w:val="en-US" w:eastAsia="zh-CN"/>
              </w:rPr>
              <w:t>改</w:t>
            </w:r>
            <w:r>
              <w:rPr>
                <w:rFonts w:hint="eastAsia"/>
                <w:color w:val="auto"/>
                <w:spacing w:val="0"/>
                <w:position w:val="0"/>
                <w:sz w:val="21"/>
                <w:szCs w:val="21"/>
              </w:rPr>
              <w:t>建项目，</w:t>
            </w:r>
            <w:r>
              <w:rPr>
                <w:rFonts w:hint="eastAsia"/>
                <w:color w:val="auto"/>
                <w:spacing w:val="0"/>
                <w:position w:val="0"/>
                <w:sz w:val="21"/>
                <w:szCs w:val="21"/>
                <w:lang w:val="en-US" w:eastAsia="zh-CN"/>
              </w:rPr>
              <w:t>使用的厂房为闲置空厂房</w:t>
            </w:r>
            <w:r>
              <w:rPr>
                <w:rFonts w:hint="eastAsia"/>
                <w:color w:val="auto"/>
                <w:spacing w:val="0"/>
                <w:position w:val="0"/>
                <w:sz w:val="21"/>
                <w:szCs w:val="21"/>
              </w:rPr>
              <w:t>。本项目</w:t>
            </w:r>
            <w:r>
              <w:rPr>
                <w:rFonts w:hint="eastAsia"/>
                <w:color w:val="auto"/>
                <w:spacing w:val="0"/>
                <w:position w:val="0"/>
                <w:sz w:val="21"/>
                <w:szCs w:val="21"/>
                <w:lang w:val="en-US" w:eastAsia="zh-CN"/>
              </w:rPr>
              <w:t>施工期</w:t>
            </w:r>
            <w:r>
              <w:rPr>
                <w:rFonts w:hint="eastAsia"/>
                <w:color w:val="auto"/>
                <w:spacing w:val="0"/>
                <w:position w:val="0"/>
                <w:sz w:val="21"/>
                <w:szCs w:val="21"/>
              </w:rPr>
              <w:t>会产生</w:t>
            </w:r>
            <w:r>
              <w:rPr>
                <w:rFonts w:hint="eastAsia"/>
                <w:color w:val="auto"/>
                <w:spacing w:val="0"/>
                <w:position w:val="0"/>
                <w:sz w:val="21"/>
                <w:szCs w:val="21"/>
                <w:lang w:val="en-US" w:eastAsia="zh-CN"/>
              </w:rPr>
              <w:t>少量固废</w:t>
            </w:r>
            <w:r>
              <w:rPr>
                <w:rFonts w:hint="eastAsia"/>
                <w:color w:val="auto"/>
                <w:spacing w:val="0"/>
                <w:position w:val="0"/>
                <w:sz w:val="21"/>
                <w:szCs w:val="21"/>
              </w:rPr>
              <w:t>垃圾，</w:t>
            </w:r>
            <w:r>
              <w:rPr>
                <w:color w:val="auto"/>
                <w:spacing w:val="0"/>
                <w:position w:val="0"/>
                <w:sz w:val="21"/>
                <w:szCs w:val="21"/>
              </w:rPr>
              <w:t>主要为</w:t>
            </w:r>
            <w:r>
              <w:rPr>
                <w:rFonts w:hint="eastAsia"/>
                <w:color w:val="auto"/>
                <w:spacing w:val="0"/>
                <w:position w:val="0"/>
                <w:sz w:val="21"/>
                <w:szCs w:val="21"/>
                <w:lang w:val="en-US" w:eastAsia="zh-CN"/>
              </w:rPr>
              <w:t>废包装垃圾</w:t>
            </w:r>
            <w:r>
              <w:rPr>
                <w:color w:val="auto"/>
                <w:spacing w:val="0"/>
                <w:position w:val="0"/>
                <w:sz w:val="21"/>
                <w:szCs w:val="21"/>
              </w:rPr>
              <w:t>和施工人员产生日常生活垃圾</w:t>
            </w:r>
            <w:r>
              <w:rPr>
                <w:rFonts w:hint="eastAsia"/>
                <w:color w:val="auto"/>
                <w:spacing w:val="0"/>
                <w:position w:val="0"/>
                <w:sz w:val="21"/>
                <w:szCs w:val="21"/>
                <w:lang w:eastAsia="zh-CN"/>
              </w:rPr>
              <w:t>。</w:t>
            </w:r>
            <w:r>
              <w:rPr>
                <w:rFonts w:hint="eastAsia"/>
                <w:color w:val="auto"/>
                <w:spacing w:val="0"/>
                <w:position w:val="0"/>
                <w:sz w:val="21"/>
                <w:szCs w:val="21"/>
                <w:lang w:val="en-US" w:eastAsia="zh-CN"/>
              </w:rPr>
              <w:t>废包装垃圾</w:t>
            </w:r>
            <w:r>
              <w:rPr>
                <w:color w:val="auto"/>
                <w:spacing w:val="0"/>
                <w:position w:val="0"/>
                <w:sz w:val="21"/>
                <w:szCs w:val="21"/>
              </w:rPr>
              <w:t>及生活垃圾若随意堆放在场内，将对周围环境产生一定影响。</w:t>
            </w:r>
          </w:p>
          <w:p w14:paraId="68180A7E">
            <w:pPr>
              <w:keepNext/>
              <w:keepLines/>
              <w:pageBreakBefore w:val="0"/>
              <w:widowControl w:val="0"/>
              <w:kinsoku/>
              <w:wordWrap/>
              <w:overflowPunct/>
              <w:topLinePunct w:val="0"/>
              <w:autoSpaceDE/>
              <w:autoSpaceDN/>
              <w:bidi w:val="0"/>
              <w:adjustRightInd/>
              <w:snapToGrid/>
              <w:spacing w:line="360" w:lineRule="auto"/>
              <w:ind w:firstLine="562"/>
              <w:textAlignment w:val="auto"/>
              <w:outlineLvl w:val="1"/>
              <w:rPr>
                <w:b/>
                <w:bCs/>
                <w:color w:val="auto"/>
                <w:spacing w:val="0"/>
                <w:position w:val="0"/>
                <w:sz w:val="21"/>
                <w:szCs w:val="21"/>
              </w:rPr>
            </w:pPr>
            <w:r>
              <w:rPr>
                <w:b/>
                <w:bCs/>
                <w:color w:val="auto"/>
                <w:spacing w:val="0"/>
                <w:position w:val="0"/>
                <w:sz w:val="21"/>
                <w:szCs w:val="21"/>
              </w:rPr>
              <w:t>防治措施：</w:t>
            </w:r>
          </w:p>
          <w:p w14:paraId="1C5113B1">
            <w:pPr>
              <w:pageBreakBefore w:val="0"/>
              <w:widowControl w:val="0"/>
              <w:kinsoku/>
              <w:wordWrap/>
              <w:overflowPunct/>
              <w:topLinePunct w:val="0"/>
              <w:autoSpaceDE/>
              <w:autoSpaceDN/>
              <w:bidi w:val="0"/>
              <w:adjustRightInd/>
              <w:snapToGrid/>
              <w:spacing w:line="360" w:lineRule="auto"/>
              <w:ind w:firstLine="576"/>
              <w:textAlignment w:val="auto"/>
              <w:rPr>
                <w:color w:val="auto"/>
                <w:spacing w:val="0"/>
                <w:kern w:val="0"/>
                <w:position w:val="0"/>
                <w:sz w:val="21"/>
                <w:szCs w:val="21"/>
              </w:rPr>
            </w:pPr>
            <w:r>
              <w:rPr>
                <w:color w:val="auto"/>
                <w:spacing w:val="0"/>
                <w:kern w:val="0"/>
                <w:position w:val="0"/>
                <w:sz w:val="21"/>
                <w:szCs w:val="21"/>
              </w:rPr>
              <w:t>（1）</w:t>
            </w:r>
            <w:r>
              <w:rPr>
                <w:rFonts w:hint="eastAsia"/>
                <w:color w:val="auto"/>
                <w:spacing w:val="0"/>
                <w:position w:val="0"/>
                <w:sz w:val="21"/>
                <w:szCs w:val="21"/>
                <w:lang w:val="en-US" w:eastAsia="zh-CN"/>
              </w:rPr>
              <w:t>废包装垃圾</w:t>
            </w:r>
            <w:r>
              <w:rPr>
                <w:color w:val="auto"/>
                <w:spacing w:val="0"/>
                <w:kern w:val="0"/>
                <w:position w:val="0"/>
                <w:sz w:val="21"/>
                <w:szCs w:val="21"/>
              </w:rPr>
              <w:t>中</w:t>
            </w:r>
            <w:r>
              <w:rPr>
                <w:rFonts w:hint="eastAsia"/>
                <w:color w:val="auto"/>
                <w:spacing w:val="0"/>
                <w:kern w:val="0"/>
                <w:position w:val="0"/>
                <w:sz w:val="21"/>
                <w:szCs w:val="21"/>
                <w:lang w:val="en-US" w:eastAsia="zh-CN"/>
              </w:rPr>
              <w:t>回收</w:t>
            </w:r>
            <w:r>
              <w:rPr>
                <w:color w:val="auto"/>
                <w:spacing w:val="0"/>
                <w:kern w:val="0"/>
                <w:position w:val="0"/>
                <w:sz w:val="21"/>
                <w:szCs w:val="21"/>
              </w:rPr>
              <w:t>部分由</w:t>
            </w:r>
            <w:r>
              <w:rPr>
                <w:rFonts w:hint="eastAsia"/>
                <w:color w:val="auto"/>
                <w:spacing w:val="0"/>
                <w:kern w:val="0"/>
                <w:position w:val="0"/>
                <w:sz w:val="21"/>
                <w:szCs w:val="21"/>
                <w:lang w:val="en-US" w:eastAsia="zh-CN"/>
              </w:rPr>
              <w:t>有资质单位</w:t>
            </w:r>
            <w:r>
              <w:rPr>
                <w:color w:val="auto"/>
                <w:spacing w:val="0"/>
                <w:kern w:val="0"/>
                <w:position w:val="0"/>
                <w:sz w:val="21"/>
                <w:szCs w:val="21"/>
              </w:rPr>
              <w:t>回收利用，</w:t>
            </w:r>
            <w:r>
              <w:rPr>
                <w:rFonts w:hint="eastAsia"/>
                <w:color w:val="auto"/>
                <w:spacing w:val="0"/>
                <w:kern w:val="0"/>
                <w:position w:val="0"/>
                <w:sz w:val="21"/>
                <w:szCs w:val="21"/>
                <w:lang w:val="en-US" w:eastAsia="zh-CN"/>
              </w:rPr>
              <w:t>不能回收的交由环</w:t>
            </w:r>
            <w:r>
              <w:rPr>
                <w:rFonts w:hint="eastAsia"/>
                <w:b w:val="0"/>
                <w:bCs w:val="0"/>
                <w:color w:val="auto"/>
                <w:spacing w:val="0"/>
                <w:position w:val="0"/>
                <w:sz w:val="21"/>
                <w:szCs w:val="21"/>
                <w:lang w:val="en-US" w:eastAsia="zh-CN"/>
              </w:rPr>
              <w:t>卫</w:t>
            </w:r>
            <w:r>
              <w:rPr>
                <w:rFonts w:hint="eastAsia"/>
                <w:color w:val="auto"/>
                <w:spacing w:val="0"/>
                <w:kern w:val="0"/>
                <w:position w:val="0"/>
                <w:sz w:val="21"/>
                <w:szCs w:val="21"/>
                <w:lang w:val="en-US" w:eastAsia="zh-CN"/>
              </w:rPr>
              <w:t>部门处理</w:t>
            </w:r>
            <w:r>
              <w:rPr>
                <w:color w:val="auto"/>
                <w:spacing w:val="0"/>
                <w:kern w:val="0"/>
                <w:position w:val="0"/>
                <w:sz w:val="21"/>
                <w:szCs w:val="21"/>
              </w:rPr>
              <w:t>，若不能及时清运的采取遮盖等措施。</w:t>
            </w:r>
          </w:p>
          <w:p w14:paraId="329CC74A">
            <w:pPr>
              <w:pageBreakBefore w:val="0"/>
              <w:widowControl w:val="0"/>
              <w:kinsoku/>
              <w:wordWrap/>
              <w:overflowPunct/>
              <w:topLinePunct w:val="0"/>
              <w:autoSpaceDE/>
              <w:autoSpaceDN/>
              <w:bidi w:val="0"/>
              <w:adjustRightInd/>
              <w:snapToGrid/>
              <w:spacing w:line="360" w:lineRule="auto"/>
              <w:ind w:firstLine="576"/>
              <w:textAlignment w:val="auto"/>
              <w:rPr>
                <w:color w:val="auto"/>
                <w:spacing w:val="0"/>
                <w:kern w:val="0"/>
                <w:position w:val="0"/>
                <w:sz w:val="21"/>
                <w:szCs w:val="21"/>
              </w:rPr>
            </w:pPr>
            <w:r>
              <w:rPr>
                <w:color w:val="auto"/>
                <w:spacing w:val="0"/>
                <w:kern w:val="0"/>
                <w:position w:val="0"/>
                <w:sz w:val="21"/>
                <w:szCs w:val="21"/>
              </w:rPr>
              <w:t>（2）在工程竣工以后，施工单位应拆除各种临时施工设施，并负责将工地的剩余建筑垃圾处理干净，做到</w:t>
            </w:r>
            <w:r>
              <w:rPr>
                <w:rFonts w:hint="eastAsia"/>
                <w:color w:val="auto"/>
                <w:spacing w:val="0"/>
                <w:kern w:val="0"/>
                <w:position w:val="0"/>
                <w:sz w:val="21"/>
                <w:szCs w:val="21"/>
                <w:lang w:eastAsia="zh-CN"/>
              </w:rPr>
              <w:t>“</w:t>
            </w:r>
            <w:r>
              <w:rPr>
                <w:color w:val="auto"/>
                <w:spacing w:val="0"/>
                <w:kern w:val="0"/>
                <w:position w:val="0"/>
                <w:sz w:val="21"/>
                <w:szCs w:val="21"/>
              </w:rPr>
              <w:t>工完、料尽、场地清</w:t>
            </w:r>
            <w:r>
              <w:rPr>
                <w:rFonts w:hint="eastAsia"/>
                <w:color w:val="auto"/>
                <w:spacing w:val="0"/>
                <w:kern w:val="0"/>
                <w:position w:val="0"/>
                <w:sz w:val="21"/>
                <w:szCs w:val="21"/>
                <w:lang w:eastAsia="zh-CN"/>
              </w:rPr>
              <w:t>”</w:t>
            </w:r>
            <w:r>
              <w:rPr>
                <w:color w:val="auto"/>
                <w:spacing w:val="0"/>
                <w:kern w:val="0"/>
                <w:position w:val="0"/>
                <w:sz w:val="21"/>
                <w:szCs w:val="21"/>
              </w:rPr>
              <w:t>，建设单位应负责督促施工单位的固体废物处置清理工作。</w:t>
            </w:r>
          </w:p>
          <w:p w14:paraId="7C2F9DE6">
            <w:pPr>
              <w:pageBreakBefore w:val="0"/>
              <w:widowControl w:val="0"/>
              <w:kinsoku/>
              <w:wordWrap/>
              <w:overflowPunct/>
              <w:topLinePunct w:val="0"/>
              <w:autoSpaceDE/>
              <w:autoSpaceDN/>
              <w:bidi w:val="0"/>
              <w:adjustRightInd/>
              <w:snapToGrid/>
              <w:spacing w:line="360" w:lineRule="auto"/>
              <w:ind w:firstLine="576"/>
              <w:textAlignment w:val="auto"/>
              <w:rPr>
                <w:color w:val="auto"/>
                <w:spacing w:val="0"/>
                <w:position w:val="0"/>
                <w:sz w:val="21"/>
                <w:szCs w:val="21"/>
              </w:rPr>
            </w:pPr>
            <w:r>
              <w:rPr>
                <w:color w:val="auto"/>
                <w:spacing w:val="0"/>
                <w:kern w:val="0"/>
                <w:position w:val="0"/>
                <w:sz w:val="21"/>
                <w:szCs w:val="21"/>
              </w:rPr>
              <w:t>（3）生活垃圾及时处理，防止</w:t>
            </w:r>
            <w:r>
              <w:rPr>
                <w:rFonts w:hint="eastAsia"/>
                <w:color w:val="auto"/>
                <w:spacing w:val="0"/>
                <w:kern w:val="0"/>
                <w:position w:val="0"/>
                <w:sz w:val="21"/>
                <w:szCs w:val="21"/>
                <w:lang w:eastAsia="zh-CN"/>
              </w:rPr>
              <w:t>滋生</w:t>
            </w:r>
            <w:r>
              <w:rPr>
                <w:color w:val="auto"/>
                <w:spacing w:val="0"/>
                <w:kern w:val="0"/>
                <w:position w:val="0"/>
                <w:sz w:val="21"/>
                <w:szCs w:val="21"/>
              </w:rPr>
              <w:t>蚊虫、产生恶臭、传播疾病，对周围环境产生不利影响。设立垃圾收集箱，由市政环卫人员定时清运至生活垃圾填埋</w:t>
            </w:r>
            <w:r>
              <w:rPr>
                <w:rFonts w:hint="eastAsia"/>
                <w:color w:val="auto"/>
                <w:spacing w:val="0"/>
                <w:kern w:val="0"/>
                <w:position w:val="0"/>
                <w:sz w:val="21"/>
                <w:szCs w:val="21"/>
              </w:rPr>
              <w:t>场。</w:t>
            </w:r>
          </w:p>
          <w:p w14:paraId="46C1A747">
            <w:pPr>
              <w:keepNext/>
              <w:keepLines/>
              <w:pageBreakBefore w:val="0"/>
              <w:widowControl w:val="0"/>
              <w:kinsoku/>
              <w:wordWrap/>
              <w:overflowPunct/>
              <w:topLinePunct w:val="0"/>
              <w:autoSpaceDE/>
              <w:autoSpaceDN/>
              <w:bidi w:val="0"/>
              <w:adjustRightInd/>
              <w:snapToGrid/>
              <w:spacing w:line="360" w:lineRule="auto"/>
              <w:ind w:firstLine="0" w:firstLineChars="0"/>
              <w:textAlignment w:val="auto"/>
              <w:outlineLvl w:val="0"/>
              <w:rPr>
                <w:rFonts w:hint="default" w:ascii="Times New Roman" w:hAnsi="Times New Roman" w:eastAsia="宋体" w:cs="Times New Roman"/>
                <w:b/>
                <w:bCs/>
                <w:color w:val="auto"/>
                <w:spacing w:val="0"/>
                <w:kern w:val="44"/>
                <w:position w:val="0"/>
                <w:sz w:val="21"/>
                <w:szCs w:val="21"/>
              </w:rPr>
            </w:pPr>
            <w:r>
              <w:rPr>
                <w:rFonts w:hint="eastAsia" w:ascii="Times New Roman" w:hAnsi="Times New Roman" w:eastAsia="宋体" w:cs="Times New Roman"/>
                <w:b/>
                <w:bCs/>
                <w:color w:val="auto"/>
                <w:spacing w:val="0"/>
                <w:kern w:val="44"/>
                <w:position w:val="0"/>
                <w:sz w:val="21"/>
                <w:szCs w:val="21"/>
                <w:lang w:val="en-US" w:eastAsia="zh-CN"/>
              </w:rPr>
              <w:t>5、</w:t>
            </w:r>
            <w:r>
              <w:rPr>
                <w:rFonts w:hint="default" w:ascii="Times New Roman" w:hAnsi="Times New Roman" w:eastAsia="宋体" w:cs="Times New Roman"/>
                <w:b/>
                <w:bCs/>
                <w:color w:val="auto"/>
                <w:spacing w:val="0"/>
                <w:kern w:val="44"/>
                <w:position w:val="0"/>
                <w:sz w:val="21"/>
                <w:szCs w:val="21"/>
              </w:rPr>
              <w:t>施工期生态环境保护措施</w:t>
            </w:r>
          </w:p>
          <w:p w14:paraId="3C687C2E">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w:t>
            </w:r>
            <w:r>
              <w:rPr>
                <w:rFonts w:hint="eastAsia" w:ascii="Times New Roman" w:hAnsi="Times New Roman" w:eastAsia="宋体" w:cs="Times New Roman"/>
                <w:color w:val="auto"/>
                <w:spacing w:val="0"/>
                <w:position w:val="0"/>
                <w:sz w:val="21"/>
                <w:szCs w:val="21"/>
                <w:lang w:val="en-US" w:eastAsia="zh-CN"/>
              </w:rPr>
              <w:t>目不新增</w:t>
            </w:r>
            <w:r>
              <w:rPr>
                <w:rFonts w:hint="default" w:ascii="Times New Roman" w:hAnsi="Times New Roman" w:eastAsia="宋体" w:cs="Times New Roman"/>
                <w:color w:val="auto"/>
                <w:spacing w:val="0"/>
                <w:position w:val="0"/>
                <w:sz w:val="21"/>
                <w:szCs w:val="21"/>
                <w:lang w:eastAsia="zh-CN"/>
              </w:rPr>
              <w:t>占地</w:t>
            </w:r>
            <w:r>
              <w:rPr>
                <w:rFonts w:hint="default" w:ascii="Times New Roman" w:hAnsi="Times New Roman" w:eastAsia="宋体" w:cs="Times New Roman"/>
                <w:color w:val="auto"/>
                <w:spacing w:val="0"/>
                <w:position w:val="0"/>
                <w:sz w:val="21"/>
                <w:szCs w:val="21"/>
              </w:rPr>
              <w:t>，项目</w:t>
            </w:r>
            <w:r>
              <w:rPr>
                <w:rFonts w:hint="eastAsia" w:ascii="Times New Roman" w:hAnsi="Times New Roman" w:eastAsia="宋体" w:cs="Times New Roman"/>
                <w:color w:val="auto"/>
                <w:spacing w:val="0"/>
                <w:position w:val="0"/>
                <w:sz w:val="21"/>
                <w:szCs w:val="21"/>
                <w:lang w:val="en-US" w:eastAsia="zh-CN"/>
              </w:rPr>
              <w:t>利用现有空置厂房进行本项目设置</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场内</w:t>
            </w:r>
            <w:r>
              <w:rPr>
                <w:rFonts w:hint="eastAsia" w:ascii="Times New Roman" w:hAnsi="Times New Roman" w:eastAsia="宋体" w:cs="Times New Roman"/>
                <w:color w:val="auto"/>
                <w:spacing w:val="0"/>
                <w:position w:val="0"/>
                <w:sz w:val="21"/>
                <w:szCs w:val="21"/>
                <w:lang w:val="en-US" w:eastAsia="zh-CN"/>
              </w:rPr>
              <w:t>不</w:t>
            </w:r>
            <w:r>
              <w:rPr>
                <w:rFonts w:hint="default" w:ascii="Times New Roman" w:hAnsi="Times New Roman" w:eastAsia="宋体" w:cs="Times New Roman"/>
                <w:color w:val="auto"/>
                <w:spacing w:val="0"/>
                <w:position w:val="0"/>
                <w:sz w:val="21"/>
                <w:szCs w:val="21"/>
              </w:rPr>
              <w:t>开挖</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color w:val="auto"/>
                <w:spacing w:val="0"/>
                <w:position w:val="0"/>
                <w:sz w:val="21"/>
                <w:szCs w:val="21"/>
                <w:lang w:val="en-US" w:eastAsia="zh-CN"/>
              </w:rPr>
              <w:t>基本不会</w:t>
            </w:r>
            <w:r>
              <w:rPr>
                <w:rFonts w:hint="default" w:ascii="Times New Roman" w:hAnsi="Times New Roman" w:eastAsia="宋体" w:cs="Times New Roman"/>
                <w:color w:val="auto"/>
                <w:spacing w:val="0"/>
                <w:position w:val="0"/>
                <w:sz w:val="21"/>
                <w:szCs w:val="21"/>
              </w:rPr>
              <w:t>造成水土流失。</w:t>
            </w:r>
          </w:p>
          <w:p w14:paraId="0721D4A1">
            <w:pPr>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eastAsia="zh-CN"/>
              </w:rPr>
              <w:t>在</w:t>
            </w:r>
            <w:r>
              <w:rPr>
                <w:rFonts w:hint="eastAsia" w:ascii="Times New Roman" w:hAnsi="Times New Roman" w:eastAsia="宋体" w:cs="Times New Roman"/>
                <w:color w:val="auto"/>
                <w:spacing w:val="0"/>
                <w:position w:val="0"/>
                <w:sz w:val="21"/>
                <w:szCs w:val="21"/>
                <w:lang w:val="en-US" w:eastAsia="zh-CN"/>
              </w:rPr>
              <w:t>现有</w:t>
            </w:r>
            <w:r>
              <w:rPr>
                <w:rFonts w:hint="default" w:ascii="Times New Roman" w:hAnsi="Times New Roman" w:eastAsia="宋体" w:cs="Times New Roman"/>
                <w:color w:val="auto"/>
                <w:spacing w:val="0"/>
                <w:position w:val="0"/>
                <w:sz w:val="21"/>
                <w:szCs w:val="21"/>
                <w:lang w:eastAsia="zh-CN"/>
              </w:rPr>
              <w:t>项目区</w:t>
            </w:r>
            <w:r>
              <w:rPr>
                <w:rFonts w:hint="default" w:ascii="Times New Roman" w:hAnsi="Times New Roman" w:eastAsia="宋体" w:cs="Times New Roman"/>
                <w:color w:val="auto"/>
                <w:spacing w:val="0"/>
                <w:position w:val="0"/>
                <w:sz w:val="21"/>
                <w:szCs w:val="21"/>
              </w:rPr>
              <w:t>企业外围、道路两侧选择能够适应当地气候、土壤、水分及灌溉条件的植物进行绿化，如</w:t>
            </w:r>
            <w:r>
              <w:rPr>
                <w:rFonts w:hint="eastAsia" w:ascii="Times New Roman" w:hAnsi="Times New Roman" w:eastAsia="宋体" w:cs="Times New Roman"/>
                <w:color w:val="auto"/>
                <w:spacing w:val="0"/>
                <w:position w:val="0"/>
                <w:sz w:val="21"/>
                <w:szCs w:val="21"/>
                <w:lang w:val="en-US" w:eastAsia="zh-CN"/>
              </w:rPr>
              <w:t>野草、</w:t>
            </w:r>
            <w:r>
              <w:rPr>
                <w:rFonts w:hint="default" w:ascii="Times New Roman" w:hAnsi="Times New Roman" w:eastAsia="宋体" w:cs="Times New Roman"/>
                <w:color w:val="auto"/>
                <w:spacing w:val="0"/>
                <w:position w:val="0"/>
                <w:sz w:val="21"/>
                <w:szCs w:val="21"/>
                <w:lang w:val="en-US" w:eastAsia="zh-CN"/>
              </w:rPr>
              <w:t>骆驼刺、泡泡刺、琵琶柴等</w:t>
            </w:r>
            <w:r>
              <w:rPr>
                <w:rFonts w:hint="default" w:ascii="Times New Roman" w:hAnsi="Times New Roman" w:eastAsia="宋体" w:cs="Times New Roman"/>
                <w:color w:val="auto"/>
                <w:spacing w:val="0"/>
                <w:position w:val="0"/>
                <w:sz w:val="21"/>
                <w:szCs w:val="21"/>
              </w:rPr>
              <w:t>。绿化方案的设计应根据区域实际情况而定，使绿化充分发挥其生态保护作用</w:t>
            </w:r>
            <w:r>
              <w:rPr>
                <w:rFonts w:hint="default" w:ascii="Times New Roman" w:hAnsi="Times New Roman" w:eastAsia="宋体" w:cs="Times New Roman"/>
                <w:color w:val="auto"/>
                <w:spacing w:val="0"/>
                <w:position w:val="0"/>
                <w:sz w:val="21"/>
                <w:szCs w:val="21"/>
                <w:lang w:eastAsia="zh-CN"/>
              </w:rPr>
              <w:t>。</w:t>
            </w:r>
          </w:p>
          <w:p w14:paraId="1915FB89">
            <w:pPr>
              <w:pageBreakBefore w:val="0"/>
              <w:widowControl w:val="0"/>
              <w:kinsoku/>
              <w:wordWrap/>
              <w:overflowPunct/>
              <w:topLinePunct w:val="0"/>
              <w:autoSpaceDE/>
              <w:autoSpaceDN/>
              <w:bidi w:val="0"/>
              <w:adjustRightInd/>
              <w:snapToGrid/>
              <w:spacing w:line="360" w:lineRule="auto"/>
              <w:ind w:firstLine="560"/>
              <w:textAlignment w:val="auto"/>
            </w:pPr>
            <w:r>
              <w:rPr>
                <w:rFonts w:hint="default" w:ascii="Times New Roman" w:hAnsi="Times New Roman" w:eastAsia="宋体" w:cs="Times New Roman"/>
                <w:color w:val="auto"/>
                <w:spacing w:val="0"/>
                <w:position w:val="0"/>
                <w:sz w:val="21"/>
                <w:szCs w:val="21"/>
                <w:lang w:eastAsia="zh-CN"/>
              </w:rPr>
              <w:t>综上所述</w:t>
            </w:r>
            <w:r>
              <w:rPr>
                <w:rFonts w:hint="default" w:ascii="Times New Roman" w:hAnsi="Times New Roman" w:eastAsia="宋体" w:cs="Times New Roman"/>
                <w:color w:val="auto"/>
                <w:spacing w:val="0"/>
                <w:position w:val="0"/>
                <w:sz w:val="21"/>
                <w:szCs w:val="21"/>
              </w:rPr>
              <w:t>，施工期各要素对环境的影响是暂时的、局部的，采取有效的控制措施，可将影响降至最低，施工结束后基本可消除。</w:t>
            </w:r>
          </w:p>
        </w:tc>
      </w:tr>
      <w:tr w14:paraId="12DAD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810" w:type="dxa"/>
            <w:tcMar>
              <w:left w:w="28" w:type="dxa"/>
              <w:right w:w="28" w:type="dxa"/>
            </w:tcMar>
            <w:vAlign w:val="center"/>
          </w:tcPr>
          <w:p w14:paraId="2A494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A882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5A6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6C10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5C6B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8D0F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5FD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B71D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67E0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CF5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E7E9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F89A1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C2CF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58E5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81E2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87A5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FF3B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49E1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FDC20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3159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F572F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51910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6674B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952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643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2E6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680D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53D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CE31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BE44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0492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CB3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3359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175F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125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7234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8760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3B1E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77A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EA8E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0F86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CBEF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1D1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8781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085D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B95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987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E32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F27C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677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422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0AEE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09D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85A2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86C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49C4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652A7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1C4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6A3B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A2C2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D35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640F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8E8BB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BF7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BC71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246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68C7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36A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6D44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E9D7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20427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D444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799D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39C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38F85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020E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F3900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084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47F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F7D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A9B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59A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596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30B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1BE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0ECF4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989C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50C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F62C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9527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7548F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7D2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B6E0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C01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421F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EB48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4DEF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C7A8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B5F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13C2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8159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DB6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6637B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BB092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8422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D156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DDB6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09CD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12D82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8363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8DD5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356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679C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EBFF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029F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BBB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DE4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D134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436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A7DF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A713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FEF2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AA7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ED6A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06E35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F3D3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89C2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3C9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20B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178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058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FE7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6D73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7636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16306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3BA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4DD5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064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666E3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DC0C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4299A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95C1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3AF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8C6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B752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79F460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EE4E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D798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8D0FA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668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9AE7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0420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A99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853F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81171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330E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F57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A04C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36F3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A61E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97B46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2F0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F315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8DB0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56BC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DDEB8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85B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1C1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6D1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C4D7A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5726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181E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EA57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A856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290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8E5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DD51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8647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FBD5C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FF5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9CD7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1BFE7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A63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9BD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E371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BE35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9C94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2AF9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B08C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618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0902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0619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C55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D84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FD5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F27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43E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8A5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B5C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639BC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EBC7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D0A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C0F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61DF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E4C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7EA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195B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F48B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9C50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F336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CCE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197C1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2CF9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8556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5D0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2F4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3F5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D021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F021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0A89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C63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CD6E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FD92B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C313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AF40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70B0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1414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C7D2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7AB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9B1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5875A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BF42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FC3A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DDEC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72BC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090E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DE7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0060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CE601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487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9BD4E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96DC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75C4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13D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8357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9B5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0918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0E1F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E736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364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251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817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75E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784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2ADD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2323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6EC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3451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D7339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24B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F67F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1BC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74067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9EBE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DA19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609C9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6C67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E79B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025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6E98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87B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28CC0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D05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4E4D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500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BA7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A63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6EB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7DD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E15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CA40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1BB4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10C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6A43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1E04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D616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8CB9B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BFCE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D41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367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3E22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84442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F3B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4A1A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EB4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8C1C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2A37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BBADE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0117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BB3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E085E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374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FB8C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AF4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1DB0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5BD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3A0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D65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CC0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68F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8900A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6055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F392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88C2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4C051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CB1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79A20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EC9F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C2D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D0EC4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D4C8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95F2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189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6AA6C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DB13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F153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6C26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234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2B53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419B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C331F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B994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AB18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80DE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D13BD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ADC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9C56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2C39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179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5362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1FA5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260F0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07F0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051CB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8D0B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DC3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F2C5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D053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3DD8A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9DC0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022B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4DF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E7D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4A9F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4B08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107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06B3E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2C76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76CF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B2C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D571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7DC6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0A2C5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EF39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2AB8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EDD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F7DF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7F960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C9B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75E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139D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B408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A52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E935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F061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8CA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892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577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60B5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907E8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C9A2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74FE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615C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8CB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7040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0EE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F6C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79F7D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C65E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B0B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9B6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295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CAF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5EA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52A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5FC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B06B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300A4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5A73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CB92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3BDE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91BB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B5E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9408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5E68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9DC2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D70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5B7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8CC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DDCCC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135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BC7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64C8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C6A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845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162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B2C1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196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7554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FC50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40A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2CE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716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926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0AFB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5A17E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764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6BA0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7768E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0B3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22D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CA5E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785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CEAD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793E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C0E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7A34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10D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820FA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A862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20D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7BB2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8F5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39C4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A90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A21F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08C2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081D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9566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290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D5966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B763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E76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A565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1D534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AEA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D27F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4A16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43F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26CA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254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506E6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50F7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99B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EF09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5C52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8A75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258B6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05B55D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9AE3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4C4D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FD5A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8EA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D21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89D4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F98B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47BE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12A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A9E51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29D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4BEB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E1AF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695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BA01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A61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420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BFA0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7F9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CB40C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D25F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A7DF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9AA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1A94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521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7E23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5C95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7631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160D5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7837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C73C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8C87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59DB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0272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51AA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FA5A1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7B2E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6242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4FA3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E0C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7546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3321C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BA3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9075C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3CF7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2C49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C8FE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049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DF1F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1255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FCC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5E8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4DCC7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58208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B6C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365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5EBF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2EF1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026F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65B8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7F693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3525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44C1B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A3B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4CB3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E6A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7ECE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6020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0971FAB">
            <w:pPr>
              <w:pStyle w:val="5"/>
              <w:rPr>
                <w:bCs/>
                <w:color w:val="auto"/>
                <w:spacing w:val="0"/>
                <w:position w:val="0"/>
                <w:sz w:val="21"/>
                <w:szCs w:val="21"/>
              </w:rPr>
            </w:pPr>
          </w:p>
          <w:p w14:paraId="58EF2889"/>
          <w:p w14:paraId="38B3E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027F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9242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B1F3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55DE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DABB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CB7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FA1A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29516B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25D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D0FE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0C1F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FAEA4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FD39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E96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E2E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746FE3">
            <w:pPr>
              <w:pStyle w:val="5"/>
              <w:rPr>
                <w:bCs/>
                <w:color w:val="auto"/>
                <w:spacing w:val="0"/>
                <w:position w:val="0"/>
                <w:sz w:val="21"/>
                <w:szCs w:val="21"/>
              </w:rPr>
            </w:pPr>
          </w:p>
          <w:p w14:paraId="3561595B">
            <w:pPr>
              <w:rPr>
                <w:bCs/>
                <w:color w:val="auto"/>
                <w:spacing w:val="0"/>
                <w:position w:val="0"/>
                <w:sz w:val="21"/>
                <w:szCs w:val="21"/>
              </w:rPr>
            </w:pPr>
          </w:p>
          <w:p w14:paraId="0264B6D6">
            <w:pPr>
              <w:pStyle w:val="5"/>
              <w:rPr>
                <w:bCs/>
                <w:color w:val="auto"/>
                <w:spacing w:val="0"/>
                <w:position w:val="0"/>
                <w:sz w:val="21"/>
                <w:szCs w:val="21"/>
              </w:rPr>
            </w:pPr>
          </w:p>
          <w:p w14:paraId="73AE83FF">
            <w:pPr>
              <w:rPr>
                <w:bCs/>
                <w:color w:val="auto"/>
                <w:spacing w:val="0"/>
                <w:position w:val="0"/>
                <w:sz w:val="21"/>
                <w:szCs w:val="21"/>
              </w:rPr>
            </w:pPr>
          </w:p>
          <w:p w14:paraId="4564DFB1">
            <w:pPr>
              <w:pStyle w:val="5"/>
              <w:rPr>
                <w:bCs/>
                <w:color w:val="auto"/>
                <w:spacing w:val="0"/>
                <w:position w:val="0"/>
                <w:sz w:val="21"/>
                <w:szCs w:val="21"/>
              </w:rPr>
            </w:pPr>
          </w:p>
          <w:p w14:paraId="7FAE2C87">
            <w:pPr>
              <w:rPr>
                <w:bCs/>
                <w:color w:val="auto"/>
                <w:spacing w:val="0"/>
                <w:position w:val="0"/>
                <w:sz w:val="21"/>
                <w:szCs w:val="21"/>
              </w:rPr>
            </w:pPr>
          </w:p>
          <w:p w14:paraId="1D817B56">
            <w:pPr>
              <w:pStyle w:val="5"/>
            </w:pPr>
          </w:p>
          <w:p w14:paraId="5958D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903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7D5B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843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41F1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32734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EB92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D53B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0BB9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2AF2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45F65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0031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9D86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BCFC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FD7C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EA25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A6C2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BF3F533">
            <w:pPr>
              <w:pStyle w:val="5"/>
              <w:rPr>
                <w:bCs/>
                <w:color w:val="auto"/>
                <w:spacing w:val="0"/>
                <w:position w:val="0"/>
                <w:sz w:val="21"/>
                <w:szCs w:val="21"/>
              </w:rPr>
            </w:pPr>
          </w:p>
          <w:p w14:paraId="0AB2281F">
            <w:pPr>
              <w:rPr>
                <w:bCs/>
                <w:color w:val="auto"/>
                <w:spacing w:val="0"/>
                <w:position w:val="0"/>
                <w:sz w:val="21"/>
                <w:szCs w:val="21"/>
              </w:rPr>
            </w:pPr>
          </w:p>
          <w:p w14:paraId="7584892A">
            <w:pPr>
              <w:pStyle w:val="5"/>
              <w:rPr>
                <w:bCs/>
                <w:color w:val="auto"/>
                <w:spacing w:val="0"/>
                <w:position w:val="0"/>
                <w:sz w:val="21"/>
                <w:szCs w:val="21"/>
              </w:rPr>
            </w:pPr>
          </w:p>
          <w:p w14:paraId="1EA0A1D2">
            <w:pPr>
              <w:rPr>
                <w:bCs/>
                <w:color w:val="auto"/>
                <w:spacing w:val="0"/>
                <w:position w:val="0"/>
                <w:sz w:val="21"/>
                <w:szCs w:val="21"/>
              </w:rPr>
            </w:pPr>
          </w:p>
          <w:p w14:paraId="3A953033">
            <w:pPr>
              <w:pStyle w:val="5"/>
              <w:rPr>
                <w:bCs/>
                <w:color w:val="auto"/>
                <w:spacing w:val="0"/>
                <w:position w:val="0"/>
                <w:sz w:val="21"/>
                <w:szCs w:val="21"/>
              </w:rPr>
            </w:pPr>
          </w:p>
          <w:p w14:paraId="27EC356F">
            <w:pPr>
              <w:rPr>
                <w:bCs/>
                <w:color w:val="auto"/>
                <w:spacing w:val="0"/>
                <w:position w:val="0"/>
                <w:sz w:val="21"/>
                <w:szCs w:val="21"/>
              </w:rPr>
            </w:pPr>
          </w:p>
          <w:p w14:paraId="53266D74">
            <w:pPr>
              <w:pStyle w:val="5"/>
              <w:rPr>
                <w:bCs/>
                <w:color w:val="auto"/>
                <w:spacing w:val="0"/>
                <w:position w:val="0"/>
                <w:sz w:val="21"/>
                <w:szCs w:val="21"/>
              </w:rPr>
            </w:pPr>
          </w:p>
          <w:p w14:paraId="75DA12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2941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1E0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08E4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8F67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4ECC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1127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E68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E94E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1A2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1A0C5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93E6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AE92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0EB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B2456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57E8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9719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2F51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D1A290E">
            <w:pPr>
              <w:pStyle w:val="2"/>
              <w:rPr>
                <w:bCs/>
                <w:color w:val="auto"/>
                <w:spacing w:val="0"/>
                <w:position w:val="0"/>
                <w:sz w:val="21"/>
                <w:szCs w:val="21"/>
              </w:rPr>
            </w:pPr>
          </w:p>
          <w:p w14:paraId="2411C3CA">
            <w:pPr>
              <w:rPr>
                <w:bCs/>
                <w:color w:val="auto"/>
                <w:spacing w:val="0"/>
                <w:position w:val="0"/>
                <w:sz w:val="21"/>
                <w:szCs w:val="21"/>
              </w:rPr>
            </w:pPr>
          </w:p>
          <w:p w14:paraId="16E69B9C">
            <w:pPr>
              <w:pStyle w:val="2"/>
              <w:rPr>
                <w:bCs/>
                <w:color w:val="auto"/>
                <w:spacing w:val="0"/>
                <w:position w:val="0"/>
                <w:sz w:val="21"/>
                <w:szCs w:val="21"/>
              </w:rPr>
            </w:pPr>
          </w:p>
          <w:p w14:paraId="33A13080">
            <w:pPr>
              <w:rPr>
                <w:bCs/>
                <w:color w:val="auto"/>
                <w:spacing w:val="0"/>
                <w:position w:val="0"/>
                <w:sz w:val="21"/>
                <w:szCs w:val="21"/>
              </w:rPr>
            </w:pPr>
          </w:p>
          <w:p w14:paraId="66EF349B">
            <w:pPr>
              <w:pStyle w:val="2"/>
              <w:rPr>
                <w:bCs/>
                <w:color w:val="auto"/>
                <w:spacing w:val="0"/>
                <w:position w:val="0"/>
                <w:sz w:val="21"/>
                <w:szCs w:val="21"/>
              </w:rPr>
            </w:pPr>
          </w:p>
          <w:p w14:paraId="3774F85A"/>
          <w:p w14:paraId="34594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986EE4">
            <w:pPr>
              <w:pStyle w:val="5"/>
              <w:rPr>
                <w:bCs/>
                <w:color w:val="auto"/>
                <w:spacing w:val="0"/>
                <w:position w:val="0"/>
                <w:sz w:val="21"/>
                <w:szCs w:val="21"/>
              </w:rPr>
            </w:pPr>
          </w:p>
          <w:p w14:paraId="1C5DE732"/>
          <w:p w14:paraId="18ED9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5DDD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4023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F6B15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31D4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D165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2301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AB6E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6F456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8B82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8E06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A818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079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A86A9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D818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29D4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ECA4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2062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3779A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252C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DEABE54">
            <w:pPr>
              <w:pStyle w:val="2"/>
              <w:rPr>
                <w:bCs/>
                <w:color w:val="auto"/>
                <w:spacing w:val="0"/>
                <w:position w:val="0"/>
                <w:sz w:val="21"/>
                <w:szCs w:val="21"/>
              </w:rPr>
            </w:pPr>
          </w:p>
          <w:p w14:paraId="13D1B572">
            <w:pPr>
              <w:rPr>
                <w:bCs/>
                <w:color w:val="auto"/>
                <w:spacing w:val="0"/>
                <w:position w:val="0"/>
                <w:sz w:val="21"/>
                <w:szCs w:val="21"/>
              </w:rPr>
            </w:pPr>
          </w:p>
          <w:p w14:paraId="77AD591D">
            <w:pPr>
              <w:pStyle w:val="2"/>
            </w:pPr>
          </w:p>
          <w:p w14:paraId="563E741F">
            <w:pPr>
              <w:pStyle w:val="5"/>
              <w:rPr>
                <w:bCs/>
                <w:color w:val="auto"/>
                <w:spacing w:val="0"/>
                <w:position w:val="0"/>
                <w:sz w:val="21"/>
                <w:szCs w:val="21"/>
              </w:rPr>
            </w:pPr>
          </w:p>
          <w:p w14:paraId="70BF2032"/>
          <w:p w14:paraId="0D06F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10EE8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B0CBB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7CB9D7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A222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2483B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DDE3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430A3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r>
              <w:rPr>
                <w:bCs/>
                <w:color w:val="auto"/>
                <w:spacing w:val="0"/>
                <w:position w:val="0"/>
                <w:sz w:val="21"/>
                <w:szCs w:val="21"/>
              </w:rPr>
              <w:t>运营期环境影响和保护措施</w:t>
            </w:r>
          </w:p>
          <w:p w14:paraId="582AE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3248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14D4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55AEE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6E7D7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29F5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126F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088F0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5DE96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pacing w:val="0"/>
                <w:position w:val="0"/>
                <w:sz w:val="21"/>
                <w:szCs w:val="21"/>
              </w:rPr>
            </w:pPr>
          </w:p>
          <w:p w14:paraId="1B207B92">
            <w:pPr>
              <w:pStyle w:val="5"/>
            </w:pPr>
          </w:p>
        </w:tc>
        <w:tc>
          <w:tcPr>
            <w:tcW w:w="8171" w:type="dxa"/>
            <w:vAlign w:val="center"/>
          </w:tcPr>
          <w:p w14:paraId="2244FE3E">
            <w:pPr>
              <w:keepNext w:val="0"/>
              <w:keepLines w:val="0"/>
              <w:pageBreakBefore w:val="0"/>
              <w:widowControl/>
              <w:kinsoku/>
              <w:wordWrap/>
              <w:overflowPunct/>
              <w:topLinePunct w:val="0"/>
              <w:autoSpaceDE/>
              <w:autoSpaceDN/>
              <w:bidi w:val="0"/>
              <w:adjustRightInd/>
              <w:snapToGrid w:val="0"/>
              <w:spacing w:before="157" w:beforeLines="50" w:line="360" w:lineRule="auto"/>
              <w:ind w:firstLine="0" w:firstLineChars="0"/>
              <w:jc w:val="left"/>
              <w:textAlignment w:val="auto"/>
              <w:rPr>
                <w:rFonts w:hint="default"/>
                <w:b/>
                <w:bCs/>
                <w:sz w:val="21"/>
                <w:szCs w:val="21"/>
                <w:lang w:val="en-US" w:eastAsia="zh-CN"/>
              </w:rPr>
            </w:pPr>
            <w:r>
              <w:rPr>
                <w:rFonts w:hint="eastAsia"/>
                <w:b/>
                <w:bCs/>
                <w:sz w:val="21"/>
                <w:szCs w:val="21"/>
                <w:lang w:val="en-US" w:eastAsia="zh-CN"/>
              </w:rPr>
              <w:t>一、废气</w:t>
            </w:r>
          </w:p>
          <w:p w14:paraId="4CCDA620">
            <w:pPr>
              <w:keepNext w:val="0"/>
              <w:keepLines w:val="0"/>
              <w:pageBreakBefore w:val="0"/>
              <w:widowControl/>
              <w:kinsoku/>
              <w:wordWrap/>
              <w:overflowPunct/>
              <w:topLinePunct w:val="0"/>
              <w:autoSpaceDE/>
              <w:autoSpaceDN/>
              <w:bidi w:val="0"/>
              <w:adjustRightInd/>
              <w:spacing w:line="360" w:lineRule="auto"/>
              <w:ind w:firstLine="0" w:firstLineChars="0"/>
              <w:jc w:val="left"/>
              <w:textAlignment w:val="auto"/>
              <w:rPr>
                <w:rFonts w:hint="default"/>
                <w:sz w:val="21"/>
                <w:szCs w:val="21"/>
                <w:lang w:val="en-US"/>
              </w:rPr>
            </w:pPr>
            <w:r>
              <w:rPr>
                <w:sz w:val="21"/>
                <w:szCs w:val="21"/>
              </w:rPr>
              <w:t>1</w:t>
            </w:r>
            <w:r>
              <w:rPr>
                <w:rFonts w:hint="eastAsia"/>
                <w:sz w:val="21"/>
                <w:szCs w:val="21"/>
                <w:lang w:val="en-US" w:eastAsia="zh-CN"/>
              </w:rPr>
              <w:t>正常工况废气源强计算</w:t>
            </w:r>
          </w:p>
          <w:p w14:paraId="0EFAD7F3">
            <w:pPr>
              <w:keepNext w:val="0"/>
              <w:keepLines w:val="0"/>
              <w:pageBreakBefore w:val="0"/>
              <w:kinsoku/>
              <w:wordWrap/>
              <w:overflowPunct/>
              <w:topLinePunct w:val="0"/>
              <w:autoSpaceDE/>
              <w:autoSpaceDN/>
              <w:bidi w:val="0"/>
              <w:adjustRightInd/>
              <w:spacing w:line="360" w:lineRule="auto"/>
              <w:ind w:firstLine="560"/>
              <w:textAlignment w:val="auto"/>
              <w:rPr>
                <w:sz w:val="21"/>
                <w:szCs w:val="21"/>
              </w:rPr>
            </w:pPr>
            <w:r>
              <w:rPr>
                <w:rFonts w:hint="eastAsia"/>
                <w:sz w:val="21"/>
                <w:szCs w:val="21"/>
              </w:rPr>
              <w:t>（1）</w:t>
            </w:r>
            <w:r>
              <w:rPr>
                <w:rFonts w:hint="eastAsia"/>
                <w:sz w:val="21"/>
                <w:szCs w:val="21"/>
                <w:lang w:val="en-US" w:eastAsia="zh-CN"/>
              </w:rPr>
              <w:t>混料</w:t>
            </w:r>
            <w:r>
              <w:rPr>
                <w:rFonts w:hint="eastAsia"/>
                <w:sz w:val="21"/>
                <w:szCs w:val="21"/>
              </w:rPr>
              <w:t>产生的粉尘</w:t>
            </w:r>
          </w:p>
          <w:p w14:paraId="1737A930">
            <w:pPr>
              <w:keepNext w:val="0"/>
              <w:keepLines w:val="0"/>
              <w:pageBreakBefore w:val="0"/>
              <w:kinsoku/>
              <w:wordWrap/>
              <w:overflowPunct/>
              <w:topLinePunct w:val="0"/>
              <w:autoSpaceDE/>
              <w:autoSpaceDN/>
              <w:bidi w:val="0"/>
              <w:adjustRightInd/>
              <w:spacing w:line="360" w:lineRule="auto"/>
              <w:ind w:firstLine="560"/>
              <w:textAlignment w:val="auto"/>
              <w:rPr>
                <w:rFonts w:hint="default"/>
                <w:sz w:val="21"/>
                <w:szCs w:val="21"/>
                <w:lang w:val="en-US" w:eastAsia="zh-CN"/>
              </w:rPr>
            </w:pPr>
            <w:r>
              <w:rPr>
                <w:rFonts w:hint="eastAsia"/>
                <w:sz w:val="21"/>
                <w:szCs w:val="21"/>
                <w:lang w:val="en-US" w:eastAsia="zh-CN"/>
              </w:rPr>
              <w:t>项目混料工序在厂房东侧进行，新料混料过程会产生粉尘。项目混料产生的粉尘参考</w:t>
            </w:r>
            <w:r>
              <w:rPr>
                <w:rFonts w:hint="eastAsia"/>
                <w:sz w:val="21"/>
                <w:szCs w:val="21"/>
              </w:rPr>
              <w:t>《</w:t>
            </w:r>
            <w:r>
              <w:rPr>
                <w:rFonts w:hint="eastAsia"/>
                <w:sz w:val="21"/>
                <w:szCs w:val="21"/>
              </w:rPr>
              <w:fldChar w:fldCharType="begin"/>
            </w:r>
            <w:r>
              <w:rPr>
                <w:rFonts w:hint="eastAsia"/>
                <w:sz w:val="21"/>
                <w:szCs w:val="21"/>
              </w:rPr>
              <w:instrText xml:space="preserve"> HYPERLINK "https://www.mee.gov.cn/xxgk2018/xxgk/xxgk01/202106/W020210624327149500026.pdf" </w:instrText>
            </w:r>
            <w:r>
              <w:rPr>
                <w:rFonts w:hint="eastAsia"/>
                <w:sz w:val="21"/>
                <w:szCs w:val="21"/>
              </w:rPr>
              <w:fldChar w:fldCharType="separate"/>
            </w:r>
            <w:r>
              <w:rPr>
                <w:rFonts w:hint="eastAsia"/>
                <w:sz w:val="21"/>
                <w:szCs w:val="21"/>
              </w:rPr>
              <w:t>排放源统计调查产排污核算方法和系数手册</w:t>
            </w:r>
            <w:r>
              <w:rPr>
                <w:rFonts w:hint="eastAsia"/>
                <w:sz w:val="21"/>
                <w:szCs w:val="21"/>
              </w:rPr>
              <w:fldChar w:fldCharType="end"/>
            </w:r>
            <w:r>
              <w:rPr>
                <w:rFonts w:hint="eastAsia"/>
                <w:sz w:val="21"/>
                <w:szCs w:val="21"/>
              </w:rPr>
              <w:t>》</w:t>
            </w:r>
            <w:r>
              <w:rPr>
                <w:rFonts w:hint="default"/>
                <w:sz w:val="21"/>
                <w:szCs w:val="21"/>
                <w:lang w:val="en-US" w:eastAsia="zh-CN"/>
              </w:rPr>
              <w:t>-</w:t>
            </w:r>
            <w:r>
              <w:rPr>
                <w:rFonts w:hint="eastAsia"/>
                <w:sz w:val="21"/>
                <w:szCs w:val="21"/>
                <w:lang w:val="en-US" w:eastAsia="zh-CN"/>
              </w:rPr>
              <w:t>《166</w:t>
            </w:r>
            <w:r>
              <w:rPr>
                <w:rFonts w:hint="eastAsia"/>
                <w:sz w:val="21"/>
                <w:szCs w:val="21"/>
              </w:rPr>
              <w:t>塑料制品业系数手册</w:t>
            </w:r>
            <w:r>
              <w:rPr>
                <w:rFonts w:hint="eastAsia"/>
                <w:sz w:val="21"/>
                <w:szCs w:val="21"/>
                <w:lang w:val="en-US" w:eastAsia="zh-CN"/>
              </w:rPr>
              <w:t>》：</w:t>
            </w:r>
            <w:r>
              <w:rPr>
                <w:rFonts w:hint="eastAsia"/>
                <w:sz w:val="21"/>
                <w:szCs w:val="21"/>
              </w:rPr>
              <w:t>2922塑料板、管、型材制造行业系数表</w:t>
            </w:r>
            <w:r>
              <w:rPr>
                <w:rFonts w:hint="eastAsia"/>
                <w:sz w:val="21"/>
                <w:szCs w:val="21"/>
                <w:lang w:val="en-US" w:eastAsia="zh-CN"/>
              </w:rPr>
              <w:t>中“配料、混料：6千克</w:t>
            </w:r>
            <w:r>
              <w:rPr>
                <w:rFonts w:hint="default"/>
                <w:sz w:val="21"/>
                <w:szCs w:val="21"/>
                <w:lang w:val="en-US" w:eastAsia="zh-CN"/>
              </w:rPr>
              <w:t>/</w:t>
            </w:r>
            <w:r>
              <w:rPr>
                <w:rFonts w:hint="eastAsia"/>
                <w:sz w:val="21"/>
                <w:szCs w:val="21"/>
                <w:lang w:val="en-US" w:eastAsia="zh-CN"/>
              </w:rPr>
              <w:t>吨·原料”。根据建设单位提供资料，本项目所用新料共5004.23</w:t>
            </w:r>
            <w:r>
              <w:rPr>
                <w:rFonts w:hint="default"/>
                <w:sz w:val="21"/>
                <w:szCs w:val="21"/>
                <w:lang w:val="en-US" w:eastAsia="zh-CN"/>
              </w:rPr>
              <w:t>t/a</w:t>
            </w:r>
            <w:r>
              <w:rPr>
                <w:rFonts w:hint="eastAsia"/>
                <w:sz w:val="21"/>
                <w:szCs w:val="21"/>
                <w:lang w:val="en-US" w:eastAsia="zh-CN"/>
              </w:rPr>
              <w:t>，则塑料粉尘产生量为30</w:t>
            </w:r>
            <w:r>
              <w:rPr>
                <w:rFonts w:hint="default"/>
                <w:sz w:val="21"/>
                <w:szCs w:val="21"/>
                <w:lang w:val="en-US" w:eastAsia="zh-CN"/>
              </w:rPr>
              <w:t>t/a</w:t>
            </w:r>
            <w:r>
              <w:rPr>
                <w:rFonts w:hint="eastAsia"/>
                <w:sz w:val="21"/>
                <w:szCs w:val="21"/>
                <w:lang w:val="en-US" w:eastAsia="zh-CN"/>
              </w:rPr>
              <w:t>。本过程使用集气罩加布袋除尘器处理混料产生的粉尘，处理后由15m高排气筒排出（DA001），运营期建设单位必须做到设备车间封闭，集气罩上方均分别安装一台引风机，集气罩四周设置软帘，废气收集系统集气罩开口面最远处的粉尘无组织排放位置控制风速不低于0.3m/s，参考《主要污染物总量减排核算技术指南》（2022年修订）表 2-3中密闭式集尘罩收集效率并结合设计，本项目进料口、筛分口收尘效率不低于90%，</w:t>
            </w:r>
            <w:r>
              <w:rPr>
                <w:rFonts w:hint="eastAsia"/>
                <w:sz w:val="21"/>
                <w:szCs w:val="21"/>
              </w:rPr>
              <w:t>风量</w:t>
            </w:r>
            <w:r>
              <w:rPr>
                <w:rFonts w:hint="eastAsia"/>
                <w:sz w:val="21"/>
                <w:szCs w:val="21"/>
                <w:lang w:val="en-US" w:eastAsia="zh-CN"/>
              </w:rPr>
              <w:t>5000</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lang w:val="en-US" w:eastAsia="zh-CN"/>
              </w:rPr>
              <w:t>，布袋除尘器处理效率为99%，则本项目混料粉尘处理后排放量为0.27</w:t>
            </w:r>
            <w:r>
              <w:rPr>
                <w:rFonts w:hint="default"/>
                <w:sz w:val="21"/>
                <w:szCs w:val="21"/>
                <w:lang w:val="en-US" w:eastAsia="zh-CN"/>
              </w:rPr>
              <w:t>t/a</w:t>
            </w:r>
            <w:r>
              <w:rPr>
                <w:rFonts w:hint="eastAsia"/>
                <w:sz w:val="21"/>
                <w:szCs w:val="21"/>
              </w:rPr>
              <w:t>（排放速率为0.</w:t>
            </w:r>
            <w:r>
              <w:rPr>
                <w:rFonts w:hint="eastAsia"/>
                <w:sz w:val="21"/>
                <w:szCs w:val="21"/>
                <w:lang w:val="en-US" w:eastAsia="zh-CN"/>
              </w:rPr>
              <w:t>09</w:t>
            </w:r>
            <w:r>
              <w:rPr>
                <w:rFonts w:hint="eastAsia"/>
                <w:sz w:val="21"/>
                <w:szCs w:val="21"/>
              </w:rPr>
              <w:t>kg/h，排放浓度为</w:t>
            </w:r>
            <w:r>
              <w:rPr>
                <w:rFonts w:hint="eastAsia"/>
                <w:sz w:val="21"/>
                <w:szCs w:val="21"/>
                <w:lang w:val="en-US" w:eastAsia="zh-CN"/>
              </w:rPr>
              <w:t>18</w:t>
            </w:r>
            <w:r>
              <w:rPr>
                <w:rFonts w:hint="eastAsia"/>
                <w:sz w:val="21"/>
                <w:szCs w:val="21"/>
              </w:rPr>
              <w:t>mg/m</w:t>
            </w:r>
            <w:r>
              <w:rPr>
                <w:rFonts w:hint="eastAsia"/>
                <w:sz w:val="21"/>
                <w:szCs w:val="21"/>
                <w:vertAlign w:val="superscript"/>
              </w:rPr>
              <w:t>3</w:t>
            </w:r>
            <w:r>
              <w:rPr>
                <w:rFonts w:hint="eastAsia"/>
                <w:sz w:val="21"/>
                <w:szCs w:val="21"/>
              </w:rPr>
              <w:t>）</w:t>
            </w:r>
            <w:r>
              <w:rPr>
                <w:rFonts w:hint="eastAsia"/>
                <w:sz w:val="21"/>
                <w:szCs w:val="21"/>
                <w:lang w:eastAsia="zh-CN"/>
              </w:rPr>
              <w:t>。</w:t>
            </w:r>
            <w:r>
              <w:rPr>
                <w:rFonts w:hint="eastAsia"/>
                <w:sz w:val="21"/>
                <w:szCs w:val="21"/>
                <w:lang w:val="en-US" w:eastAsia="zh-CN"/>
              </w:rPr>
              <w:t>本过程颗粒物无组织排放量为3t</w:t>
            </w:r>
            <w:r>
              <w:rPr>
                <w:rFonts w:hint="default"/>
                <w:sz w:val="21"/>
                <w:szCs w:val="21"/>
                <w:lang w:val="en-US" w:eastAsia="zh-CN"/>
              </w:rPr>
              <w:t>/</w:t>
            </w:r>
            <w:r>
              <w:rPr>
                <w:rFonts w:hint="eastAsia"/>
                <w:sz w:val="21"/>
                <w:szCs w:val="21"/>
                <w:lang w:val="en-US" w:eastAsia="zh-CN"/>
              </w:rPr>
              <w:t>a，本项目位于密闭车间内，经过物理降尘及车间清扫可以有效减少80%的无组织排放颗粒物，因此本项目颗粒物无组织排放量为0.6t</w:t>
            </w:r>
            <w:r>
              <w:rPr>
                <w:rFonts w:hint="default"/>
                <w:sz w:val="21"/>
                <w:szCs w:val="21"/>
                <w:lang w:val="en-US" w:eastAsia="zh-CN"/>
              </w:rPr>
              <w:t>/</w:t>
            </w:r>
            <w:r>
              <w:rPr>
                <w:rFonts w:hint="eastAsia"/>
                <w:sz w:val="21"/>
                <w:szCs w:val="21"/>
                <w:lang w:val="en-US" w:eastAsia="zh-CN"/>
              </w:rPr>
              <w:t>a。</w:t>
            </w:r>
          </w:p>
          <w:p w14:paraId="3D7281D3">
            <w:pPr>
              <w:keepNext w:val="0"/>
              <w:keepLines w:val="0"/>
              <w:pageBreakBefore w:val="0"/>
              <w:kinsoku/>
              <w:wordWrap/>
              <w:overflowPunct/>
              <w:topLinePunct w:val="0"/>
              <w:autoSpaceDE/>
              <w:autoSpaceDN/>
              <w:bidi w:val="0"/>
              <w:adjustRightInd/>
              <w:spacing w:line="360" w:lineRule="auto"/>
              <w:ind w:firstLine="560"/>
              <w:textAlignment w:val="auto"/>
              <w:rPr>
                <w:rFonts w:hint="default"/>
                <w:sz w:val="21"/>
                <w:szCs w:val="21"/>
                <w:lang w:val="en-US" w:eastAsia="zh-CN"/>
              </w:rPr>
            </w:pPr>
            <w:r>
              <w:rPr>
                <w:rFonts w:hint="eastAsia"/>
                <w:sz w:val="21"/>
                <w:szCs w:val="21"/>
                <w:lang w:val="en-US" w:eastAsia="zh-CN"/>
              </w:rPr>
              <w:t>本过程颗粒物有组织排放浓度为18mg/m</w:t>
            </w:r>
            <w:r>
              <w:rPr>
                <w:rFonts w:hint="eastAsia"/>
                <w:sz w:val="21"/>
                <w:szCs w:val="21"/>
                <w:vertAlign w:val="superscript"/>
              </w:rPr>
              <w:t>3</w:t>
            </w:r>
            <w:r>
              <w:rPr>
                <w:rFonts w:hint="eastAsia"/>
                <w:sz w:val="21"/>
                <w:szCs w:val="21"/>
                <w:lang w:val="en-US" w:eastAsia="zh-CN"/>
              </w:rPr>
              <w:t>，符合《合成树脂工业污染物排放标准》（GB- 31572-2015）及修改单中表五颗粒物有组织特别排放限值20</w:t>
            </w:r>
            <w:r>
              <w:rPr>
                <w:rFonts w:hint="eastAsia"/>
                <w:sz w:val="21"/>
                <w:szCs w:val="21"/>
              </w:rPr>
              <w:t>mg/m</w:t>
            </w:r>
            <w:r>
              <w:rPr>
                <w:rFonts w:hint="eastAsia"/>
                <w:sz w:val="21"/>
                <w:szCs w:val="21"/>
                <w:vertAlign w:val="superscript"/>
              </w:rPr>
              <w:t>3</w:t>
            </w:r>
            <w:r>
              <w:rPr>
                <w:rFonts w:hint="eastAsia"/>
                <w:sz w:val="21"/>
                <w:szCs w:val="21"/>
                <w:lang w:eastAsia="zh-CN"/>
              </w:rPr>
              <w:t>。</w:t>
            </w:r>
          </w:p>
          <w:p w14:paraId="09AAE1B2">
            <w:pPr>
              <w:keepNext w:val="0"/>
              <w:keepLines w:val="0"/>
              <w:pageBreakBefore w:val="0"/>
              <w:kinsoku/>
              <w:wordWrap/>
              <w:overflowPunct/>
              <w:topLinePunct w:val="0"/>
              <w:autoSpaceDE/>
              <w:autoSpaceDN/>
              <w:bidi w:val="0"/>
              <w:adjustRightInd/>
              <w:spacing w:line="360" w:lineRule="auto"/>
              <w:ind w:firstLine="560"/>
              <w:textAlignment w:val="auto"/>
              <w:rPr>
                <w:rFonts w:hint="eastAsia"/>
                <w:sz w:val="21"/>
                <w:szCs w:val="21"/>
                <w:lang w:eastAsia="zh-CN"/>
              </w:rPr>
            </w:pPr>
            <w:r>
              <w:rPr>
                <w:rFonts w:hint="eastAsia"/>
                <w:sz w:val="21"/>
                <w:szCs w:val="21"/>
              </w:rPr>
              <w:t>（2）</w:t>
            </w:r>
            <w:r>
              <w:rPr>
                <w:rFonts w:hint="eastAsia"/>
                <w:sz w:val="21"/>
                <w:szCs w:val="21"/>
                <w:lang w:val="en-US" w:eastAsia="zh-CN"/>
              </w:rPr>
              <w:t>挤出机产生的有机废气</w:t>
            </w:r>
          </w:p>
          <w:p w14:paraId="07A9E3F7">
            <w:pPr>
              <w:keepNext w:val="0"/>
              <w:keepLines w:val="0"/>
              <w:pageBreakBefore w:val="0"/>
              <w:kinsoku/>
              <w:wordWrap/>
              <w:overflowPunct/>
              <w:topLinePunct w:val="0"/>
              <w:autoSpaceDE/>
              <w:autoSpaceDN/>
              <w:bidi w:val="0"/>
              <w:adjustRightInd/>
              <w:spacing w:line="360" w:lineRule="auto"/>
              <w:ind w:firstLine="560"/>
              <w:textAlignment w:val="auto"/>
              <w:rPr>
                <w:rFonts w:hint="eastAsia"/>
                <w:sz w:val="21"/>
                <w:szCs w:val="21"/>
              </w:rPr>
            </w:pPr>
            <w:r>
              <w:rPr>
                <w:rFonts w:hint="eastAsia"/>
                <w:sz w:val="21"/>
                <w:szCs w:val="21"/>
              </w:rPr>
              <w:t>本项目PVC</w:t>
            </w:r>
            <w:r>
              <w:rPr>
                <w:rFonts w:hint="eastAsia"/>
                <w:sz w:val="21"/>
                <w:szCs w:val="21"/>
                <w:lang w:val="en-US" w:eastAsia="zh-CN"/>
              </w:rPr>
              <w:t>颗粒</w:t>
            </w:r>
            <w:r>
              <w:rPr>
                <w:rFonts w:hint="eastAsia"/>
                <w:sz w:val="21"/>
                <w:szCs w:val="21"/>
                <w:lang w:eastAsia="zh-CN"/>
              </w:rPr>
              <w:t>、</w:t>
            </w:r>
            <w:r>
              <w:rPr>
                <w:rFonts w:hint="eastAsia"/>
                <w:sz w:val="21"/>
                <w:szCs w:val="21"/>
                <w:lang w:val="en-US" w:eastAsia="zh-CN"/>
              </w:rPr>
              <w:t>PP新料、PE新料</w:t>
            </w:r>
            <w:r>
              <w:rPr>
                <w:rFonts w:hint="eastAsia"/>
                <w:sz w:val="21"/>
                <w:szCs w:val="21"/>
              </w:rPr>
              <w:t>加工成塑料</w:t>
            </w:r>
            <w:r>
              <w:rPr>
                <w:rFonts w:hint="eastAsia"/>
                <w:sz w:val="21"/>
                <w:szCs w:val="21"/>
                <w:lang w:val="en-US" w:eastAsia="zh-CN"/>
              </w:rPr>
              <w:t>产品</w:t>
            </w:r>
            <w:r>
              <w:rPr>
                <w:rFonts w:hint="eastAsia"/>
                <w:sz w:val="21"/>
                <w:szCs w:val="21"/>
              </w:rPr>
              <w:t>，在挤出过程中产生的有机废气以非甲烷总烃计。挤出过程中产生的废气引用原环评中《</w:t>
            </w:r>
            <w:r>
              <w:rPr>
                <w:rFonts w:hint="eastAsia"/>
                <w:sz w:val="21"/>
                <w:szCs w:val="21"/>
              </w:rPr>
              <w:fldChar w:fldCharType="begin"/>
            </w:r>
            <w:r>
              <w:rPr>
                <w:rFonts w:hint="eastAsia"/>
                <w:sz w:val="21"/>
                <w:szCs w:val="21"/>
              </w:rPr>
              <w:instrText xml:space="preserve"> HYPERLINK "https://www.mee.gov.cn/xxgk2018/xxgk/xxgk01/202106/W020210624327149500026.pdf" </w:instrText>
            </w:r>
            <w:r>
              <w:rPr>
                <w:rFonts w:hint="eastAsia"/>
                <w:sz w:val="21"/>
                <w:szCs w:val="21"/>
              </w:rPr>
              <w:fldChar w:fldCharType="separate"/>
            </w:r>
            <w:r>
              <w:rPr>
                <w:rFonts w:hint="eastAsia"/>
                <w:sz w:val="21"/>
                <w:szCs w:val="21"/>
              </w:rPr>
              <w:t>排放源统计调查产排污核算方法和系数手册</w:t>
            </w:r>
            <w:r>
              <w:rPr>
                <w:rFonts w:hint="eastAsia"/>
                <w:sz w:val="21"/>
                <w:szCs w:val="21"/>
              </w:rPr>
              <w:fldChar w:fldCharType="end"/>
            </w:r>
            <w:r>
              <w:rPr>
                <w:rFonts w:hint="eastAsia"/>
                <w:sz w:val="21"/>
                <w:szCs w:val="21"/>
              </w:rPr>
              <w:t>》</w:t>
            </w:r>
            <w:r>
              <w:rPr>
                <w:rFonts w:hint="default"/>
                <w:sz w:val="21"/>
                <w:szCs w:val="21"/>
                <w:lang w:val="en-US" w:eastAsia="zh-CN"/>
              </w:rPr>
              <w:t>-</w:t>
            </w:r>
            <w:r>
              <w:rPr>
                <w:rFonts w:hint="eastAsia"/>
                <w:sz w:val="21"/>
                <w:szCs w:val="21"/>
                <w:lang w:val="en-US" w:eastAsia="zh-CN"/>
              </w:rPr>
              <w:t>《166</w:t>
            </w:r>
            <w:r>
              <w:rPr>
                <w:rFonts w:hint="eastAsia"/>
                <w:sz w:val="21"/>
                <w:szCs w:val="21"/>
              </w:rPr>
              <w:t>塑料制品业系数手册</w:t>
            </w:r>
            <w:r>
              <w:rPr>
                <w:rFonts w:hint="eastAsia"/>
                <w:sz w:val="21"/>
                <w:szCs w:val="21"/>
                <w:lang w:val="en-US" w:eastAsia="zh-CN"/>
              </w:rPr>
              <w:t>》</w:t>
            </w:r>
            <w:r>
              <w:rPr>
                <w:rFonts w:hint="eastAsia"/>
                <w:sz w:val="21"/>
                <w:szCs w:val="21"/>
              </w:rPr>
              <w:t>中</w:t>
            </w:r>
            <w:r>
              <w:rPr>
                <w:rFonts w:hint="eastAsia"/>
                <w:sz w:val="21"/>
                <w:szCs w:val="21"/>
                <w:lang w:eastAsia="zh-CN"/>
              </w:rPr>
              <w:t>“</w:t>
            </w:r>
            <w:r>
              <w:rPr>
                <w:rFonts w:hint="eastAsia"/>
                <w:sz w:val="21"/>
                <w:szCs w:val="21"/>
              </w:rPr>
              <w:t>2922塑料板、管、型材制造行业系数</w:t>
            </w:r>
            <w:r>
              <w:rPr>
                <w:rFonts w:hint="eastAsia"/>
                <w:sz w:val="21"/>
                <w:szCs w:val="21"/>
                <w:lang w:val="en-US" w:eastAsia="zh-CN"/>
              </w:rPr>
              <w:t>表</w:t>
            </w:r>
            <w:r>
              <w:rPr>
                <w:rFonts w:hint="eastAsia"/>
                <w:sz w:val="21"/>
                <w:szCs w:val="21"/>
                <w:lang w:eastAsia="zh-CN"/>
              </w:rPr>
              <w:t>”“</w:t>
            </w:r>
            <w:r>
              <w:rPr>
                <w:rFonts w:hint="eastAsia"/>
                <w:sz w:val="21"/>
                <w:szCs w:val="21"/>
                <w:lang w:val="en-US" w:eastAsia="zh-CN"/>
              </w:rPr>
              <w:t>2923</w:t>
            </w:r>
            <w:r>
              <w:rPr>
                <w:rFonts w:hint="eastAsia"/>
                <w:sz w:val="21"/>
                <w:szCs w:val="21"/>
              </w:rPr>
              <w:t>塑料丝、绳及编织品制造行业系数表</w:t>
            </w:r>
            <w:r>
              <w:rPr>
                <w:rFonts w:hint="eastAsia"/>
                <w:sz w:val="21"/>
                <w:szCs w:val="21"/>
                <w:lang w:eastAsia="zh-CN"/>
              </w:rPr>
              <w:t>”</w:t>
            </w:r>
            <w:r>
              <w:rPr>
                <w:rFonts w:hint="eastAsia"/>
                <w:sz w:val="21"/>
                <w:szCs w:val="21"/>
              </w:rPr>
              <w:t>，塑料</w:t>
            </w:r>
            <w:r>
              <w:rPr>
                <w:rFonts w:hint="eastAsia"/>
                <w:sz w:val="21"/>
                <w:szCs w:val="21"/>
                <w:lang w:val="en-US" w:eastAsia="zh-CN"/>
              </w:rPr>
              <w:t>管件</w:t>
            </w:r>
            <w:r>
              <w:rPr>
                <w:rFonts w:hint="eastAsia"/>
                <w:sz w:val="21"/>
                <w:szCs w:val="21"/>
              </w:rPr>
              <w:t>产污系数</w:t>
            </w:r>
            <w:r>
              <w:rPr>
                <w:rFonts w:hint="eastAsia"/>
                <w:sz w:val="21"/>
                <w:szCs w:val="21"/>
                <w:lang w:eastAsia="zh-CN"/>
              </w:rPr>
              <w:t>（</w:t>
            </w:r>
            <w:r>
              <w:rPr>
                <w:rFonts w:hint="eastAsia"/>
                <w:sz w:val="21"/>
                <w:szCs w:val="21"/>
                <w:lang w:val="en-US" w:eastAsia="zh-CN"/>
              </w:rPr>
              <w:t>以非甲烷总烃计</w:t>
            </w:r>
            <w:r>
              <w:rPr>
                <w:rFonts w:hint="eastAsia"/>
                <w:sz w:val="21"/>
                <w:szCs w:val="21"/>
                <w:lang w:eastAsia="zh-CN"/>
              </w:rPr>
              <w:t>）</w:t>
            </w:r>
            <w:r>
              <w:rPr>
                <w:rFonts w:hint="eastAsia"/>
                <w:sz w:val="21"/>
                <w:szCs w:val="21"/>
              </w:rPr>
              <w:t>为1.50kg/t产品来计算</w:t>
            </w:r>
            <w:r>
              <w:rPr>
                <w:rFonts w:hint="eastAsia"/>
                <w:sz w:val="21"/>
                <w:szCs w:val="21"/>
                <w:lang w:eastAsia="zh-CN"/>
              </w:rPr>
              <w:t>，</w:t>
            </w:r>
            <w:r>
              <w:rPr>
                <w:rFonts w:hint="eastAsia"/>
                <w:sz w:val="21"/>
                <w:szCs w:val="21"/>
                <w:lang w:val="en-US" w:eastAsia="zh-CN"/>
              </w:rPr>
              <w:t>打包带</w:t>
            </w:r>
            <w:r>
              <w:rPr>
                <w:rFonts w:hint="eastAsia"/>
                <w:sz w:val="21"/>
                <w:szCs w:val="21"/>
              </w:rPr>
              <w:t>产污系数为</w:t>
            </w:r>
            <w:r>
              <w:rPr>
                <w:rFonts w:hint="eastAsia"/>
                <w:sz w:val="21"/>
                <w:szCs w:val="21"/>
                <w:lang w:val="en-US" w:eastAsia="zh-CN"/>
              </w:rPr>
              <w:t>3.76</w:t>
            </w:r>
            <w:r>
              <w:rPr>
                <w:rFonts w:hint="eastAsia"/>
                <w:sz w:val="21"/>
                <w:szCs w:val="21"/>
              </w:rPr>
              <w:t>kg/t产品来计算。本项目原料PVC颗粒</w:t>
            </w:r>
            <w:r>
              <w:rPr>
                <w:rFonts w:hint="eastAsia"/>
                <w:sz w:val="21"/>
                <w:szCs w:val="21"/>
                <w:lang w:eastAsia="zh-CN"/>
              </w:rPr>
              <w:t>、</w:t>
            </w:r>
            <w:r>
              <w:rPr>
                <w:rFonts w:hint="eastAsia"/>
                <w:sz w:val="21"/>
                <w:szCs w:val="21"/>
                <w:lang w:val="en-US" w:eastAsia="zh-CN"/>
              </w:rPr>
              <w:t>PP新料、PE新料及破碎回用</w:t>
            </w:r>
            <w:r>
              <w:rPr>
                <w:rFonts w:hint="eastAsia"/>
                <w:sz w:val="21"/>
                <w:szCs w:val="21"/>
              </w:rPr>
              <w:t>的用量约</w:t>
            </w:r>
            <w:r>
              <w:rPr>
                <w:rFonts w:hint="eastAsia"/>
                <w:sz w:val="21"/>
                <w:szCs w:val="21"/>
                <w:lang w:val="en-US" w:eastAsia="zh-CN"/>
              </w:rPr>
              <w:t>5004.23</w:t>
            </w:r>
            <w:r>
              <w:rPr>
                <w:rFonts w:hint="eastAsia"/>
                <w:sz w:val="21"/>
                <w:szCs w:val="21"/>
              </w:rPr>
              <w:t>t/a</w:t>
            </w:r>
            <w:r>
              <w:rPr>
                <w:rFonts w:hint="eastAsia"/>
                <w:sz w:val="21"/>
                <w:szCs w:val="21"/>
                <w:lang w:eastAsia="zh-CN"/>
              </w:rPr>
              <w:t>，</w:t>
            </w:r>
            <w:r>
              <w:rPr>
                <w:rFonts w:hint="eastAsia"/>
                <w:sz w:val="21"/>
                <w:szCs w:val="21"/>
                <w:lang w:val="en-US" w:eastAsia="zh-CN"/>
              </w:rPr>
              <w:t>其中管材生产使用量为3002.63</w:t>
            </w:r>
            <w:r>
              <w:rPr>
                <w:rFonts w:hint="eastAsia"/>
                <w:sz w:val="21"/>
                <w:szCs w:val="21"/>
              </w:rPr>
              <w:t>t/a</w:t>
            </w:r>
            <w:r>
              <w:rPr>
                <w:rFonts w:hint="eastAsia"/>
                <w:sz w:val="21"/>
                <w:szCs w:val="21"/>
                <w:lang w:val="en-US" w:eastAsia="zh-CN"/>
              </w:rPr>
              <w:t>，打包带生产使用量为2001.75</w:t>
            </w:r>
            <w:r>
              <w:rPr>
                <w:rFonts w:hint="eastAsia"/>
                <w:sz w:val="21"/>
                <w:szCs w:val="21"/>
              </w:rPr>
              <w:t>t/a</w:t>
            </w:r>
            <w:r>
              <w:rPr>
                <w:rFonts w:hint="eastAsia"/>
                <w:sz w:val="21"/>
                <w:szCs w:val="21"/>
                <w:lang w:eastAsia="zh-CN"/>
              </w:rPr>
              <w:t>，</w:t>
            </w:r>
            <w:r>
              <w:rPr>
                <w:rFonts w:hint="eastAsia"/>
                <w:sz w:val="21"/>
                <w:szCs w:val="21"/>
              </w:rPr>
              <w:t>则</w:t>
            </w:r>
            <w:r>
              <w:rPr>
                <w:rFonts w:hint="eastAsia"/>
                <w:sz w:val="21"/>
                <w:szCs w:val="21"/>
                <w:lang w:val="en-US" w:eastAsia="zh-CN"/>
              </w:rPr>
              <w:t>有机</w:t>
            </w:r>
            <w:r>
              <w:rPr>
                <w:rFonts w:hint="eastAsia"/>
                <w:sz w:val="21"/>
                <w:szCs w:val="21"/>
              </w:rPr>
              <w:t>废气产生量</w:t>
            </w:r>
            <w:r>
              <w:rPr>
                <w:rFonts w:hint="eastAsia"/>
                <w:sz w:val="21"/>
                <w:szCs w:val="21"/>
                <w:lang w:val="en-US" w:eastAsia="zh-CN"/>
              </w:rPr>
              <w:t>共</w:t>
            </w:r>
            <w:r>
              <w:rPr>
                <w:rFonts w:hint="eastAsia"/>
                <w:sz w:val="21"/>
                <w:szCs w:val="21"/>
              </w:rPr>
              <w:t>为</w:t>
            </w:r>
            <w:r>
              <w:rPr>
                <w:rFonts w:hint="eastAsia"/>
                <w:sz w:val="21"/>
                <w:szCs w:val="21"/>
                <w:lang w:val="en-US" w:eastAsia="zh-CN"/>
              </w:rPr>
              <w:t>12</w:t>
            </w:r>
            <w:r>
              <w:rPr>
                <w:rFonts w:hint="eastAsia"/>
                <w:sz w:val="21"/>
                <w:szCs w:val="21"/>
              </w:rPr>
              <w:t>t/a。</w:t>
            </w:r>
            <w:r>
              <w:rPr>
                <w:rFonts w:hint="eastAsia"/>
                <w:sz w:val="21"/>
                <w:szCs w:val="21"/>
                <w:lang w:val="en-US" w:eastAsia="zh-CN"/>
              </w:rPr>
              <w:t>运营期建设单位必须做到设备车间封闭，集气罩上方均分别安装一台引风机，集气罩四周设置软帘，废气收集系统集气罩开口面最远处的粉尘无组织排放位置控制风速不低于0.3m/s，参考《主要污染物总量减排核算技术指南》（2022年修订）表 2-3中密闭式集尘罩收集效率并结合设计，本项目进料口、筛分口收尘效率不低于90%，</w:t>
            </w:r>
            <w:r>
              <w:rPr>
                <w:rFonts w:hint="eastAsia"/>
                <w:sz w:val="21"/>
                <w:szCs w:val="21"/>
              </w:rPr>
              <w:t>风量</w:t>
            </w:r>
            <w:r>
              <w:rPr>
                <w:rFonts w:hint="eastAsia"/>
                <w:sz w:val="21"/>
                <w:szCs w:val="21"/>
                <w:lang w:val="en-US" w:eastAsia="zh-CN"/>
              </w:rPr>
              <w:t>50000</w:t>
            </w:r>
            <w:r>
              <w:rPr>
                <w:rFonts w:hint="eastAsia"/>
                <w:sz w:val="21"/>
                <w:szCs w:val="21"/>
              </w:rPr>
              <w:t>m</w:t>
            </w:r>
            <w:r>
              <w:rPr>
                <w:rFonts w:hint="eastAsia"/>
                <w:sz w:val="21"/>
                <w:szCs w:val="21"/>
                <w:vertAlign w:val="superscript"/>
              </w:rPr>
              <w:t>3</w:t>
            </w:r>
            <w:r>
              <w:rPr>
                <w:rFonts w:hint="eastAsia"/>
                <w:sz w:val="21"/>
                <w:szCs w:val="21"/>
              </w:rPr>
              <w:t>/h，收集效率以9</w:t>
            </w:r>
            <w:r>
              <w:rPr>
                <w:rFonts w:hint="eastAsia"/>
                <w:sz w:val="21"/>
                <w:szCs w:val="21"/>
                <w:lang w:val="en-US" w:eastAsia="zh-CN"/>
              </w:rPr>
              <w:t>0</w:t>
            </w:r>
            <w:r>
              <w:rPr>
                <w:rFonts w:hint="eastAsia"/>
                <w:sz w:val="21"/>
                <w:szCs w:val="21"/>
              </w:rPr>
              <w:t>%计，年运行时间</w:t>
            </w:r>
            <w:r>
              <w:rPr>
                <w:rFonts w:hint="eastAsia"/>
                <w:sz w:val="21"/>
                <w:szCs w:val="21"/>
                <w:lang w:val="en-US" w:eastAsia="zh-CN"/>
              </w:rPr>
              <w:t>3000</w:t>
            </w:r>
            <w:r>
              <w:rPr>
                <w:rFonts w:hint="eastAsia"/>
                <w:sz w:val="21"/>
                <w:szCs w:val="21"/>
              </w:rPr>
              <w:t>h，则</w:t>
            </w:r>
            <w:r>
              <w:rPr>
                <w:rFonts w:hint="eastAsia"/>
                <w:sz w:val="21"/>
                <w:szCs w:val="21"/>
                <w:lang w:val="en-US" w:eastAsia="zh-CN"/>
              </w:rPr>
              <w:t>本项目非甲烷总烃收集</w:t>
            </w:r>
            <w:r>
              <w:rPr>
                <w:rFonts w:hint="eastAsia"/>
                <w:sz w:val="21"/>
                <w:szCs w:val="21"/>
              </w:rPr>
              <w:t>量为</w:t>
            </w:r>
            <w:r>
              <w:rPr>
                <w:rFonts w:hint="eastAsia"/>
                <w:sz w:val="21"/>
                <w:szCs w:val="21"/>
                <w:lang w:val="en-US" w:eastAsia="zh-CN"/>
              </w:rPr>
              <w:t>10.8</w:t>
            </w:r>
            <w:r>
              <w:rPr>
                <w:rFonts w:hint="eastAsia"/>
                <w:sz w:val="21"/>
                <w:szCs w:val="21"/>
              </w:rPr>
              <w:t>t/a，通过</w:t>
            </w:r>
            <w:r>
              <w:rPr>
                <w:rFonts w:hint="eastAsia"/>
                <w:sz w:val="21"/>
                <w:szCs w:val="21"/>
                <w:lang w:val="en-US" w:eastAsia="zh-CN"/>
              </w:rPr>
              <w:t>活性炭吸附脱附+催化燃烧</w:t>
            </w:r>
            <w:r>
              <w:rPr>
                <w:rFonts w:hint="eastAsia"/>
                <w:sz w:val="21"/>
                <w:szCs w:val="21"/>
              </w:rPr>
              <w:t>进行处理，</w:t>
            </w:r>
            <w:r>
              <w:rPr>
                <w:rFonts w:hint="eastAsia"/>
                <w:sz w:val="21"/>
                <w:szCs w:val="21"/>
                <w:lang w:val="en-US" w:eastAsia="zh-CN"/>
              </w:rPr>
              <w:t>处理效率参考《主要污染物总量减排核算技术指南（</w:t>
            </w:r>
            <w:r>
              <w:rPr>
                <w:rFonts w:hint="default"/>
                <w:sz w:val="21"/>
                <w:szCs w:val="21"/>
                <w:lang w:val="en-US" w:eastAsia="zh-CN"/>
              </w:rPr>
              <w:t>2022</w:t>
            </w:r>
            <w:r>
              <w:rPr>
                <w:rFonts w:hint="eastAsia"/>
                <w:sz w:val="21"/>
                <w:szCs w:val="21"/>
                <w:lang w:val="en-US" w:eastAsia="zh-CN"/>
              </w:rPr>
              <w:t>年修订）》，</w:t>
            </w:r>
            <w:r>
              <w:rPr>
                <w:rFonts w:hint="eastAsia"/>
                <w:sz w:val="21"/>
                <w:szCs w:val="21"/>
              </w:rPr>
              <w:t>去除效率以</w:t>
            </w:r>
            <w:r>
              <w:rPr>
                <w:rFonts w:hint="eastAsia"/>
                <w:sz w:val="21"/>
                <w:szCs w:val="21"/>
                <w:lang w:val="en-US" w:eastAsia="zh-CN"/>
              </w:rPr>
              <w:t>80</w:t>
            </w:r>
            <w:r>
              <w:rPr>
                <w:rFonts w:hint="eastAsia"/>
                <w:sz w:val="21"/>
                <w:szCs w:val="21"/>
              </w:rPr>
              <w:t>%计，</w:t>
            </w:r>
            <w:r>
              <w:rPr>
                <w:rFonts w:hint="eastAsia"/>
                <w:sz w:val="21"/>
                <w:szCs w:val="21"/>
                <w:lang w:val="en-US" w:eastAsia="zh-CN"/>
              </w:rPr>
              <w:t>处理后由15m高排气筒排出（DA002）。</w:t>
            </w:r>
            <w:r>
              <w:rPr>
                <w:rFonts w:hint="eastAsia"/>
                <w:sz w:val="21"/>
                <w:szCs w:val="21"/>
              </w:rPr>
              <w:t>则</w:t>
            </w:r>
            <w:r>
              <w:rPr>
                <w:rFonts w:hint="eastAsia"/>
                <w:sz w:val="21"/>
                <w:szCs w:val="21"/>
                <w:lang w:val="en-US" w:eastAsia="zh-CN"/>
              </w:rPr>
              <w:t>本项目非甲烷总烃</w:t>
            </w:r>
            <w:r>
              <w:rPr>
                <w:rFonts w:hint="eastAsia"/>
                <w:sz w:val="21"/>
                <w:szCs w:val="21"/>
              </w:rPr>
              <w:t>有组织排放量为</w:t>
            </w:r>
            <w:r>
              <w:rPr>
                <w:rFonts w:hint="eastAsia"/>
                <w:sz w:val="21"/>
                <w:szCs w:val="21"/>
                <w:lang w:val="en-US" w:eastAsia="zh-CN"/>
              </w:rPr>
              <w:t>2.16</w:t>
            </w:r>
            <w:r>
              <w:rPr>
                <w:rFonts w:hint="eastAsia"/>
                <w:sz w:val="21"/>
                <w:szCs w:val="21"/>
              </w:rPr>
              <w:t>t/a。</w:t>
            </w:r>
            <w:r>
              <w:rPr>
                <w:rFonts w:hint="eastAsia"/>
                <w:sz w:val="21"/>
                <w:szCs w:val="21"/>
                <w:lang w:val="en-US" w:eastAsia="zh-CN"/>
              </w:rPr>
              <w:t>本项目扩建生产线及原生产线均使用此处理设备，因此有机废气核算于一处，原生产线设备车间封闭，集气罩上方均分别安装一台引风机，集气罩四周设置软帘，废气收集系统集气罩开口面最远处的粉尘无组织排放位置控制风速不低于0.3m/s，收集效率以90%计，处理效率以80%计，原项目非甲烷总烃的产生量为9.45t/a，则计算得原项目非甲烷总烃有组织排放量为1.7t/a，因此非甲烷总烃有组织排放总量为3.86t/a，</w:t>
            </w:r>
            <w:r>
              <w:rPr>
                <w:rFonts w:hint="eastAsia"/>
                <w:sz w:val="21"/>
                <w:szCs w:val="21"/>
              </w:rPr>
              <w:t>年运行时间</w:t>
            </w:r>
            <w:r>
              <w:rPr>
                <w:rFonts w:hint="eastAsia"/>
                <w:sz w:val="21"/>
                <w:szCs w:val="21"/>
                <w:lang w:val="en-US" w:eastAsia="zh-CN"/>
              </w:rPr>
              <w:t>3000</w:t>
            </w:r>
            <w:r>
              <w:rPr>
                <w:rFonts w:hint="eastAsia"/>
                <w:sz w:val="21"/>
                <w:szCs w:val="21"/>
              </w:rPr>
              <w:t>h</w:t>
            </w:r>
            <w:r>
              <w:rPr>
                <w:rFonts w:hint="eastAsia"/>
                <w:sz w:val="21"/>
                <w:szCs w:val="21"/>
                <w:lang w:val="en-US" w:eastAsia="zh-CN"/>
              </w:rPr>
              <w:t>计</w:t>
            </w:r>
            <w:r>
              <w:rPr>
                <w:rFonts w:hint="eastAsia"/>
                <w:sz w:val="21"/>
                <w:szCs w:val="21"/>
                <w:lang w:eastAsia="zh-CN"/>
              </w:rPr>
              <w:t>，</w:t>
            </w:r>
            <w:r>
              <w:rPr>
                <w:rFonts w:hint="eastAsia"/>
                <w:sz w:val="21"/>
                <w:szCs w:val="21"/>
                <w:lang w:val="en-US" w:eastAsia="zh-CN"/>
              </w:rPr>
              <w:t>则本项目非甲烷总烃有组织排放总速率为1.287kg/h，有组织排放总浓度为25.74</w:t>
            </w:r>
            <w:r>
              <w:rPr>
                <w:rFonts w:hint="eastAsia"/>
                <w:sz w:val="21"/>
                <w:szCs w:val="21"/>
              </w:rPr>
              <w:t>mg/m</w:t>
            </w:r>
            <w:r>
              <w:rPr>
                <w:rFonts w:hint="eastAsia"/>
                <w:sz w:val="21"/>
                <w:szCs w:val="21"/>
                <w:vertAlign w:val="superscript"/>
              </w:rPr>
              <w:t>3</w:t>
            </w:r>
            <w:r>
              <w:rPr>
                <w:rFonts w:hint="eastAsia"/>
                <w:sz w:val="21"/>
                <w:szCs w:val="21"/>
              </w:rPr>
              <w:t>。</w:t>
            </w:r>
            <w:r>
              <w:rPr>
                <w:rFonts w:hint="eastAsia"/>
                <w:sz w:val="21"/>
                <w:szCs w:val="21"/>
                <w:lang w:val="en-US" w:eastAsia="zh-CN"/>
              </w:rPr>
              <w:t>塑料生产线项目非甲烷总烃</w:t>
            </w:r>
            <w:r>
              <w:rPr>
                <w:rFonts w:hint="eastAsia"/>
                <w:sz w:val="21"/>
                <w:szCs w:val="21"/>
              </w:rPr>
              <w:t>无组织排放量为</w:t>
            </w:r>
            <w:r>
              <w:rPr>
                <w:rFonts w:hint="eastAsia"/>
                <w:sz w:val="21"/>
                <w:szCs w:val="21"/>
                <w:lang w:val="en-US" w:eastAsia="zh-CN"/>
              </w:rPr>
              <w:t>1.2</w:t>
            </w:r>
            <w:r>
              <w:rPr>
                <w:rFonts w:hint="eastAsia"/>
                <w:sz w:val="21"/>
                <w:szCs w:val="21"/>
              </w:rPr>
              <w:t>t/a</w:t>
            </w:r>
            <w:r>
              <w:rPr>
                <w:rFonts w:hint="eastAsia"/>
                <w:sz w:val="21"/>
                <w:szCs w:val="21"/>
                <w:lang w:eastAsia="zh-CN"/>
              </w:rPr>
              <w:t>，</w:t>
            </w:r>
            <w:r>
              <w:rPr>
                <w:rFonts w:hint="eastAsia"/>
                <w:sz w:val="21"/>
                <w:szCs w:val="21"/>
                <w:lang w:val="en-US" w:eastAsia="zh-CN"/>
              </w:rPr>
              <w:t>本项目通过车间门窗的通风换气降低车间内少量的无组织有机废气</w:t>
            </w:r>
            <w:r>
              <w:rPr>
                <w:rFonts w:hint="eastAsia"/>
                <w:sz w:val="21"/>
                <w:szCs w:val="21"/>
              </w:rPr>
              <w:t>。</w:t>
            </w:r>
          </w:p>
          <w:p w14:paraId="040C8850">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对于HCl，本次环评参考《聚氯乙烯固化物的热分解脱氯化氢和辐照对热分解的影响》（1982年5月，华北辐射防护研究所）一文中的相关数据，PVC在150~200℃的热解过程中氯化氢的排放系数2.7g/t。根据《燃料化学学报》2002年12月第6期中山西太原理工大学发表的《PVC的热解/红外（Py/FTIR）研究》，研究结果表明，采用稳定剂后可提高PVC的分解温度抑制氯化氢气体的产生，采用稳定剂后的PVC受热200℃时开始放出HCl，释放系数为1.8g/t。目前市场上PVC塑料均添加稳定剂，项目PVC加热分解氯化氢的系数按最大值2.7g/t考虑。本项目使用的PVC新料为972.23t/a，因此本项目HCl产生量为0，，挤出机年工作300天，每天工作10小时，则产生速率为0.00087kg/h。本项目采用包围型集气罩（含软帘），收集效率为90%，则挤出工序有组织HCl废气的排放量为0.00235t/a，排放速率为0.00078kg/h，排放浓度为0.0038mg/m</w:t>
            </w:r>
            <w:r>
              <w:rPr>
                <w:rFonts w:hint="eastAsia"/>
                <w:sz w:val="21"/>
                <w:szCs w:val="21"/>
                <w:vertAlign w:val="superscript"/>
              </w:rPr>
              <w:t>3</w:t>
            </w:r>
            <w:r>
              <w:rPr>
                <w:rFonts w:hint="default" w:ascii="Times New Roman" w:hAnsi="Times New Roman" w:eastAsia="宋体" w:cs="Times New Roman"/>
                <w:b w:val="0"/>
                <w:bCs w:val="0"/>
                <w:sz w:val="21"/>
                <w:szCs w:val="21"/>
                <w:lang w:val="en-US" w:eastAsia="zh-CN"/>
              </w:rPr>
              <w:t>。无组织HCl废气的排放量为0.00026t/a，本项目通过车间门窗的通风换气降低车间内少量的无组织氯化氢。</w:t>
            </w:r>
          </w:p>
          <w:p w14:paraId="57F384A5">
            <w:pPr>
              <w:keepNext w:val="0"/>
              <w:keepLines w:val="0"/>
              <w:pageBreakBefore w:val="0"/>
              <w:kinsoku/>
              <w:wordWrap/>
              <w:overflowPunct/>
              <w:topLinePunct w:val="0"/>
              <w:autoSpaceDE/>
              <w:autoSpaceDN/>
              <w:bidi w:val="0"/>
              <w:adjustRightInd/>
              <w:spacing w:line="360" w:lineRule="auto"/>
              <w:ind w:firstLine="560"/>
              <w:textAlignment w:val="auto"/>
              <w:rPr>
                <w:rFonts w:hint="default"/>
                <w:sz w:val="21"/>
                <w:szCs w:val="21"/>
                <w:lang w:val="en-US" w:eastAsia="zh-CN"/>
              </w:rPr>
            </w:pPr>
            <w:r>
              <w:rPr>
                <w:rFonts w:hint="eastAsia"/>
                <w:sz w:val="21"/>
                <w:szCs w:val="21"/>
                <w:lang w:val="en-US" w:eastAsia="zh-CN"/>
              </w:rPr>
              <w:t>本项目非甲烷总烃有组织排放总浓度为25.74</w:t>
            </w:r>
            <w:r>
              <w:rPr>
                <w:rFonts w:hint="eastAsia"/>
                <w:sz w:val="21"/>
                <w:szCs w:val="21"/>
              </w:rPr>
              <w:t>mg/m</w:t>
            </w:r>
            <w:r>
              <w:rPr>
                <w:rFonts w:hint="eastAsia"/>
                <w:sz w:val="21"/>
                <w:szCs w:val="21"/>
                <w:vertAlign w:val="superscript"/>
              </w:rPr>
              <w:t>3</w:t>
            </w:r>
            <w:r>
              <w:rPr>
                <w:rFonts w:hint="eastAsia"/>
                <w:sz w:val="21"/>
                <w:szCs w:val="21"/>
                <w:lang w:eastAsia="zh-CN"/>
              </w:rPr>
              <w:t>，</w:t>
            </w:r>
            <w:r>
              <w:rPr>
                <w:rFonts w:hint="eastAsia"/>
                <w:sz w:val="21"/>
                <w:szCs w:val="21"/>
                <w:lang w:val="en-US" w:eastAsia="zh-CN"/>
              </w:rPr>
              <w:t>本过程HCl有组织排放浓度为0.0038</w:t>
            </w:r>
            <w:r>
              <w:rPr>
                <w:rFonts w:hint="eastAsia"/>
                <w:sz w:val="21"/>
                <w:szCs w:val="21"/>
              </w:rPr>
              <w:t>mg/m</w:t>
            </w:r>
            <w:r>
              <w:rPr>
                <w:rFonts w:hint="eastAsia"/>
                <w:sz w:val="21"/>
                <w:szCs w:val="21"/>
                <w:vertAlign w:val="superscript"/>
              </w:rPr>
              <w:t>3</w:t>
            </w:r>
            <w:r>
              <w:rPr>
                <w:rFonts w:hint="eastAsia"/>
                <w:sz w:val="21"/>
                <w:szCs w:val="21"/>
                <w:lang w:eastAsia="zh-CN"/>
              </w:rPr>
              <w:t>，</w:t>
            </w:r>
            <w:r>
              <w:rPr>
                <w:rFonts w:hint="eastAsia"/>
                <w:sz w:val="21"/>
                <w:szCs w:val="21"/>
                <w:lang w:val="en-US" w:eastAsia="zh-CN"/>
              </w:rPr>
              <w:t>符合《合成树脂工业污染物排放标准》（GB- 31572-2015）及修改单中表五非甲烷总烃有组织特别排放限值60</w:t>
            </w:r>
            <w:r>
              <w:rPr>
                <w:rFonts w:hint="eastAsia"/>
                <w:sz w:val="21"/>
                <w:szCs w:val="21"/>
              </w:rPr>
              <w:t>mg/m</w:t>
            </w:r>
            <w:r>
              <w:rPr>
                <w:rFonts w:hint="eastAsia"/>
                <w:sz w:val="21"/>
                <w:szCs w:val="21"/>
                <w:vertAlign w:val="superscript"/>
              </w:rPr>
              <w:t>3</w:t>
            </w:r>
            <w:r>
              <w:rPr>
                <w:rFonts w:hint="eastAsia"/>
                <w:sz w:val="21"/>
                <w:szCs w:val="21"/>
                <w:lang w:val="en-US" w:eastAsia="zh-CN"/>
              </w:rPr>
              <w:t>，及HCl有组织特别排放限值20</w:t>
            </w:r>
            <w:r>
              <w:rPr>
                <w:rFonts w:hint="eastAsia"/>
                <w:sz w:val="21"/>
                <w:szCs w:val="21"/>
              </w:rPr>
              <w:t>mg/m</w:t>
            </w:r>
            <w:r>
              <w:rPr>
                <w:rFonts w:hint="eastAsia"/>
                <w:sz w:val="21"/>
                <w:szCs w:val="21"/>
                <w:vertAlign w:val="superscript"/>
              </w:rPr>
              <w:t>3</w:t>
            </w:r>
            <w:r>
              <w:rPr>
                <w:rFonts w:hint="eastAsia"/>
                <w:sz w:val="21"/>
                <w:szCs w:val="21"/>
                <w:lang w:val="en-US" w:eastAsia="zh-CN"/>
              </w:rPr>
              <w:t>。</w:t>
            </w:r>
          </w:p>
          <w:p w14:paraId="32946F9C">
            <w:pPr>
              <w:keepNext w:val="0"/>
              <w:keepLines w:val="0"/>
              <w:pageBreakBefore w:val="0"/>
              <w:numPr>
                <w:ilvl w:val="0"/>
                <w:numId w:val="0"/>
              </w:numPr>
              <w:kinsoku/>
              <w:wordWrap/>
              <w:overflowPunct/>
              <w:topLinePunct w:val="0"/>
              <w:autoSpaceDE/>
              <w:autoSpaceDN/>
              <w:bidi w:val="0"/>
              <w:adjustRightInd/>
              <w:spacing w:line="360" w:lineRule="auto"/>
              <w:ind w:firstLine="420" w:firstLineChars="200"/>
              <w:textAlignment w:val="auto"/>
              <w:rPr>
                <w:rFonts w:hint="eastAsia"/>
                <w:sz w:val="21"/>
                <w:szCs w:val="21"/>
              </w:rPr>
            </w:pPr>
            <w:r>
              <w:rPr>
                <w:rFonts w:hint="eastAsia"/>
                <w:sz w:val="21"/>
                <w:szCs w:val="21"/>
                <w:lang w:val="en-US" w:eastAsia="zh-CN"/>
              </w:rPr>
              <w:t>（3）不合格产品破碎</w:t>
            </w:r>
            <w:r>
              <w:rPr>
                <w:rFonts w:hint="eastAsia"/>
                <w:sz w:val="21"/>
                <w:szCs w:val="21"/>
              </w:rPr>
              <w:t>产生的粉尘</w:t>
            </w:r>
          </w:p>
          <w:p w14:paraId="3A4CAF3D">
            <w:pPr>
              <w:keepNext w:val="0"/>
              <w:keepLines w:val="0"/>
              <w:pageBreakBefore w:val="0"/>
              <w:kinsoku/>
              <w:wordWrap/>
              <w:overflowPunct/>
              <w:topLinePunct w:val="0"/>
              <w:autoSpaceDE/>
              <w:autoSpaceDN/>
              <w:bidi w:val="0"/>
              <w:adjustRightInd/>
              <w:spacing w:line="360" w:lineRule="auto"/>
              <w:ind w:firstLine="560"/>
              <w:textAlignment w:val="auto"/>
              <w:rPr>
                <w:rFonts w:hint="default"/>
                <w:sz w:val="21"/>
                <w:szCs w:val="21"/>
                <w:lang w:val="en-US" w:eastAsia="zh-CN"/>
              </w:rPr>
            </w:pPr>
            <w:r>
              <w:rPr>
                <w:rFonts w:hint="eastAsia"/>
                <w:sz w:val="21"/>
                <w:szCs w:val="21"/>
                <w:lang w:val="en-US" w:eastAsia="zh-CN"/>
              </w:rPr>
              <w:t>项目塑料边角料及不合格品破碎过程会产生少量粉尘。项目破碎机破碎产生的粉尘量参考《排放源统计调查产排污核算方法和系数手册》</w:t>
            </w:r>
            <w:r>
              <w:rPr>
                <w:rFonts w:hint="default"/>
                <w:sz w:val="21"/>
                <w:szCs w:val="21"/>
                <w:lang w:val="en-US" w:eastAsia="zh-CN"/>
              </w:rPr>
              <w:t>-</w:t>
            </w:r>
            <w:r>
              <w:rPr>
                <w:rFonts w:hint="eastAsia"/>
                <w:sz w:val="21"/>
                <w:szCs w:val="21"/>
                <w:lang w:val="en-US" w:eastAsia="zh-CN"/>
              </w:rPr>
              <w:t>《</w:t>
            </w:r>
            <w:r>
              <w:rPr>
                <w:rFonts w:hint="default"/>
                <w:sz w:val="21"/>
                <w:szCs w:val="21"/>
                <w:lang w:val="en-US" w:eastAsia="zh-CN"/>
              </w:rPr>
              <w:t>42</w:t>
            </w:r>
            <w:r>
              <w:rPr>
                <w:rFonts w:hint="eastAsia"/>
                <w:sz w:val="21"/>
                <w:szCs w:val="21"/>
                <w:lang w:val="en-US" w:eastAsia="zh-CN"/>
              </w:rPr>
              <w:t>废弃资源综合利用行业系数手册》：</w:t>
            </w:r>
            <w:r>
              <w:rPr>
                <w:rFonts w:hint="default"/>
                <w:sz w:val="21"/>
                <w:szCs w:val="21"/>
                <w:lang w:val="en-US" w:eastAsia="zh-CN"/>
              </w:rPr>
              <w:t>4220</w:t>
            </w:r>
            <w:r>
              <w:rPr>
                <w:rFonts w:hint="eastAsia"/>
                <w:sz w:val="21"/>
                <w:szCs w:val="21"/>
                <w:lang w:val="en-US" w:eastAsia="zh-CN"/>
              </w:rPr>
              <w:t>非金属废料和碎屑加工处理行业系数表中“废PP、PE等干法破碎的颗粒物产污系数：</w:t>
            </w:r>
            <w:r>
              <w:rPr>
                <w:rFonts w:hint="default"/>
                <w:sz w:val="21"/>
                <w:szCs w:val="21"/>
                <w:lang w:val="en-US" w:eastAsia="zh-CN"/>
              </w:rPr>
              <w:t>375</w:t>
            </w:r>
            <w:r>
              <w:rPr>
                <w:rFonts w:hint="eastAsia"/>
                <w:sz w:val="21"/>
                <w:szCs w:val="21"/>
                <w:lang w:val="en-US" w:eastAsia="zh-CN"/>
              </w:rPr>
              <w:t>克</w:t>
            </w:r>
            <w:r>
              <w:rPr>
                <w:rFonts w:hint="default"/>
                <w:sz w:val="21"/>
                <w:szCs w:val="21"/>
                <w:lang w:val="en-US" w:eastAsia="zh-CN"/>
              </w:rPr>
              <w:t>/</w:t>
            </w:r>
            <w:r>
              <w:rPr>
                <w:rFonts w:hint="eastAsia"/>
                <w:sz w:val="21"/>
                <w:szCs w:val="21"/>
                <w:lang w:val="en-US" w:eastAsia="zh-CN"/>
              </w:rPr>
              <w:t>吨·原料”“废PVC干法破碎的颗粒物产污系数：450克</w:t>
            </w:r>
            <w:r>
              <w:rPr>
                <w:rFonts w:hint="default"/>
                <w:sz w:val="21"/>
                <w:szCs w:val="21"/>
                <w:lang w:val="en-US" w:eastAsia="zh-CN"/>
              </w:rPr>
              <w:t>/</w:t>
            </w:r>
            <w:r>
              <w:rPr>
                <w:rFonts w:hint="eastAsia"/>
                <w:sz w:val="21"/>
                <w:szCs w:val="21"/>
                <w:lang w:val="en-US" w:eastAsia="zh-CN"/>
              </w:rPr>
              <w:t>吨－原料”。根据建设单位提供资料，本项目需破碎的塑料边角料及不合格品产生量约为PP、PE料为4</w:t>
            </w:r>
            <w:r>
              <w:rPr>
                <w:rFonts w:hint="default"/>
                <w:sz w:val="21"/>
                <w:szCs w:val="21"/>
                <w:lang w:val="en-US" w:eastAsia="zh-CN"/>
              </w:rPr>
              <w:t>t/a</w:t>
            </w:r>
            <w:r>
              <w:rPr>
                <w:rFonts w:hint="eastAsia"/>
                <w:sz w:val="21"/>
                <w:szCs w:val="21"/>
                <w:lang w:val="en-US" w:eastAsia="zh-CN"/>
              </w:rPr>
              <w:t>，PVC料为1</w:t>
            </w:r>
            <w:r>
              <w:rPr>
                <w:rFonts w:hint="default"/>
                <w:sz w:val="21"/>
                <w:szCs w:val="21"/>
                <w:lang w:val="en-US" w:eastAsia="zh-CN"/>
              </w:rPr>
              <w:t>t/a</w:t>
            </w:r>
            <w:r>
              <w:rPr>
                <w:rFonts w:hint="eastAsia"/>
                <w:sz w:val="21"/>
                <w:szCs w:val="21"/>
                <w:lang w:val="en-US" w:eastAsia="zh-CN"/>
              </w:rPr>
              <w:t>。则塑料粉尘产生量约为</w:t>
            </w:r>
            <w:r>
              <w:rPr>
                <w:rFonts w:hint="default"/>
                <w:sz w:val="21"/>
                <w:szCs w:val="21"/>
                <w:lang w:val="en-US" w:eastAsia="zh-CN"/>
              </w:rPr>
              <w:t>0.00</w:t>
            </w:r>
            <w:r>
              <w:rPr>
                <w:rFonts w:hint="eastAsia"/>
                <w:sz w:val="21"/>
                <w:szCs w:val="21"/>
                <w:lang w:val="en-US" w:eastAsia="zh-CN"/>
              </w:rPr>
              <w:t>2</w:t>
            </w:r>
            <w:r>
              <w:rPr>
                <w:rFonts w:hint="default"/>
                <w:sz w:val="21"/>
                <w:szCs w:val="21"/>
                <w:lang w:val="en-US" w:eastAsia="zh-CN"/>
              </w:rPr>
              <w:t>t/a</w:t>
            </w:r>
            <w:r>
              <w:rPr>
                <w:rFonts w:hint="eastAsia"/>
                <w:sz w:val="21"/>
                <w:szCs w:val="21"/>
                <w:lang w:val="en-US" w:eastAsia="zh-CN"/>
              </w:rPr>
              <w:t>，本过程由集气罩收集粉尘，集气罩假装软帘，再由布袋除尘器处理混料产生的粉尘，处理后由15m高排气筒排出（DA001），运营期建设单位必须做到设备车间封闭，集气罩上方均分别安装一台引风机，集气罩四周设置软帘，废气收集系统集气罩开口面最远处的粉尘无组织排放位置控制风速不低于0.3m/s，参考《主要污染物总量减排核算技术指南》（2022年修订）表 2-3中密闭式集尘罩收集效率并结合设计，本项目进料口、筛分口收尘效率不低于90%，</w:t>
            </w:r>
            <w:r>
              <w:rPr>
                <w:rFonts w:hint="eastAsia"/>
                <w:sz w:val="21"/>
                <w:szCs w:val="21"/>
              </w:rPr>
              <w:t>风量</w:t>
            </w:r>
            <w:r>
              <w:rPr>
                <w:rFonts w:hint="eastAsia"/>
                <w:sz w:val="21"/>
                <w:szCs w:val="21"/>
                <w:lang w:val="en-US" w:eastAsia="zh-CN"/>
              </w:rPr>
              <w:t>5</w:t>
            </w:r>
            <w:r>
              <w:rPr>
                <w:rFonts w:hint="eastAsia"/>
                <w:sz w:val="21"/>
                <w:szCs w:val="21"/>
              </w:rPr>
              <w:t>000m</w:t>
            </w:r>
            <w:r>
              <w:rPr>
                <w:rFonts w:hint="eastAsia"/>
                <w:sz w:val="21"/>
                <w:szCs w:val="21"/>
                <w:vertAlign w:val="superscript"/>
              </w:rPr>
              <w:t>3</w:t>
            </w:r>
            <w:r>
              <w:rPr>
                <w:rFonts w:hint="eastAsia"/>
                <w:sz w:val="21"/>
                <w:szCs w:val="21"/>
              </w:rPr>
              <w:t>/h</w:t>
            </w:r>
            <w:r>
              <w:rPr>
                <w:rFonts w:hint="eastAsia"/>
                <w:sz w:val="21"/>
                <w:szCs w:val="21"/>
                <w:lang w:val="en-US" w:eastAsia="zh-CN"/>
              </w:rPr>
              <w:t>，布袋除尘器处理效率为99%，则本项目混料粉尘处理后排放量为1.8</w:t>
            </w:r>
            <w:r>
              <w:rPr>
                <w:rFonts w:hint="default"/>
                <w:sz w:val="21"/>
                <w:szCs w:val="21"/>
                <w:lang w:val="en-US" w:eastAsia="zh-CN"/>
              </w:rPr>
              <w:t>×</w:t>
            </w:r>
            <w:r>
              <w:rPr>
                <w:rFonts w:hint="eastAsia"/>
                <w:sz w:val="21"/>
                <w:szCs w:val="21"/>
                <w:lang w:val="en-US" w:eastAsia="zh-CN"/>
              </w:rPr>
              <w:t>10-5</w:t>
            </w:r>
            <w:r>
              <w:rPr>
                <w:rFonts w:hint="default"/>
                <w:sz w:val="21"/>
                <w:szCs w:val="21"/>
                <w:lang w:val="en-US" w:eastAsia="zh-CN"/>
              </w:rPr>
              <w:t>t/a</w:t>
            </w:r>
            <w:r>
              <w:rPr>
                <w:rFonts w:hint="eastAsia"/>
                <w:sz w:val="21"/>
                <w:szCs w:val="21"/>
              </w:rPr>
              <w:t>（排放速率为</w:t>
            </w:r>
            <w:r>
              <w:rPr>
                <w:rFonts w:hint="eastAsia"/>
                <w:sz w:val="21"/>
                <w:szCs w:val="21"/>
                <w:lang w:val="en-US" w:eastAsia="zh-CN"/>
              </w:rPr>
              <w:t>4.8</w:t>
            </w:r>
            <w:r>
              <w:rPr>
                <w:rFonts w:hint="default"/>
                <w:sz w:val="21"/>
                <w:szCs w:val="21"/>
                <w:lang w:val="en-US" w:eastAsia="zh-CN"/>
              </w:rPr>
              <w:t>×</w:t>
            </w:r>
            <w:r>
              <w:rPr>
                <w:rFonts w:hint="eastAsia"/>
                <w:sz w:val="21"/>
                <w:szCs w:val="21"/>
                <w:lang w:val="en-US" w:eastAsia="zh-CN"/>
              </w:rPr>
              <w:t>10-6</w:t>
            </w:r>
            <w:r>
              <w:rPr>
                <w:rFonts w:hint="eastAsia"/>
                <w:sz w:val="21"/>
                <w:szCs w:val="21"/>
              </w:rPr>
              <w:t>kg/h，排放浓度为</w:t>
            </w:r>
            <w:r>
              <w:rPr>
                <w:rFonts w:hint="eastAsia"/>
                <w:sz w:val="21"/>
                <w:szCs w:val="21"/>
                <w:lang w:val="en-US" w:eastAsia="zh-CN"/>
              </w:rPr>
              <w:t>0.008</w:t>
            </w:r>
            <w:r>
              <w:rPr>
                <w:rFonts w:hint="eastAsia"/>
                <w:sz w:val="21"/>
                <w:szCs w:val="21"/>
              </w:rPr>
              <w:t>mg/m</w:t>
            </w:r>
            <w:r>
              <w:rPr>
                <w:rFonts w:hint="eastAsia"/>
                <w:sz w:val="21"/>
                <w:szCs w:val="21"/>
                <w:vertAlign w:val="superscript"/>
              </w:rPr>
              <w:t>3</w:t>
            </w:r>
            <w:r>
              <w:rPr>
                <w:rFonts w:hint="eastAsia"/>
                <w:sz w:val="21"/>
                <w:szCs w:val="21"/>
              </w:rPr>
              <w:t>）</w:t>
            </w:r>
            <w:r>
              <w:rPr>
                <w:rFonts w:hint="eastAsia"/>
                <w:sz w:val="21"/>
                <w:szCs w:val="21"/>
                <w:lang w:eastAsia="zh-CN"/>
              </w:rPr>
              <w:t>。</w:t>
            </w:r>
            <w:r>
              <w:rPr>
                <w:rFonts w:hint="eastAsia"/>
                <w:sz w:val="21"/>
                <w:szCs w:val="21"/>
                <w:lang w:val="en-US" w:eastAsia="zh-CN"/>
              </w:rPr>
              <w:t>本过程无组织排放</w:t>
            </w:r>
            <w:r>
              <w:rPr>
                <w:rFonts w:hint="eastAsia"/>
                <w:sz w:val="21"/>
                <w:szCs w:val="21"/>
              </w:rPr>
              <w:t>量为</w:t>
            </w:r>
            <w:r>
              <w:rPr>
                <w:rFonts w:hint="eastAsia"/>
                <w:sz w:val="21"/>
                <w:szCs w:val="21"/>
                <w:lang w:val="en-US" w:eastAsia="zh-CN"/>
              </w:rPr>
              <w:t>0.0002</w:t>
            </w:r>
            <w:r>
              <w:rPr>
                <w:rFonts w:hint="eastAsia"/>
                <w:sz w:val="21"/>
                <w:szCs w:val="21"/>
              </w:rPr>
              <w:t>t/a</w:t>
            </w:r>
            <w:r>
              <w:rPr>
                <w:rFonts w:hint="eastAsia"/>
                <w:sz w:val="21"/>
                <w:szCs w:val="21"/>
                <w:lang w:val="en-US" w:eastAsia="zh-CN"/>
              </w:rPr>
              <w:t>，本项目位于密闭车间内，经过物理降尘及车间清扫可以有效减少80%的无组织排放颗粒物，因此本项目颗粒物无组织排放量为0.00004t</w:t>
            </w:r>
            <w:r>
              <w:rPr>
                <w:rFonts w:hint="default"/>
                <w:sz w:val="21"/>
                <w:szCs w:val="21"/>
                <w:lang w:val="en-US" w:eastAsia="zh-CN"/>
              </w:rPr>
              <w:t>/</w:t>
            </w:r>
            <w:r>
              <w:rPr>
                <w:rFonts w:hint="eastAsia"/>
                <w:sz w:val="21"/>
                <w:szCs w:val="21"/>
                <w:lang w:val="en-US" w:eastAsia="zh-CN"/>
              </w:rPr>
              <w:t>a。</w:t>
            </w:r>
          </w:p>
          <w:p w14:paraId="22934284">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sz w:val="21"/>
                <w:szCs w:val="21"/>
                <w:lang w:eastAsia="zh-CN"/>
              </w:rPr>
            </w:pPr>
            <w:r>
              <w:rPr>
                <w:rFonts w:hint="eastAsia"/>
                <w:sz w:val="21"/>
                <w:szCs w:val="21"/>
                <w:lang w:val="en-US" w:eastAsia="zh-CN"/>
              </w:rPr>
              <w:t>本过程颗粒物有组织排放浓度为0.008</w:t>
            </w:r>
            <w:r>
              <w:rPr>
                <w:rFonts w:hint="eastAsia"/>
                <w:sz w:val="21"/>
                <w:szCs w:val="21"/>
              </w:rPr>
              <w:t>mg/m</w:t>
            </w:r>
            <w:r>
              <w:rPr>
                <w:rFonts w:hint="eastAsia"/>
                <w:sz w:val="21"/>
                <w:szCs w:val="21"/>
                <w:vertAlign w:val="superscript"/>
              </w:rPr>
              <w:t>3</w:t>
            </w:r>
            <w:r>
              <w:rPr>
                <w:rFonts w:hint="eastAsia"/>
                <w:sz w:val="21"/>
                <w:szCs w:val="21"/>
                <w:lang w:eastAsia="zh-CN"/>
              </w:rPr>
              <w:t>，</w:t>
            </w:r>
            <w:r>
              <w:rPr>
                <w:rFonts w:hint="eastAsia"/>
                <w:sz w:val="21"/>
                <w:szCs w:val="21"/>
                <w:lang w:val="en-US" w:eastAsia="zh-CN"/>
              </w:rPr>
              <w:t>符合《合成树脂工业污染物排放标准》（GB- 31572-2015）及修改单中表五颗粒物有组织特别排放限值20</w:t>
            </w:r>
            <w:r>
              <w:rPr>
                <w:rFonts w:hint="eastAsia"/>
                <w:sz w:val="21"/>
                <w:szCs w:val="21"/>
              </w:rPr>
              <w:t>mg/m</w:t>
            </w:r>
            <w:r>
              <w:rPr>
                <w:rFonts w:hint="eastAsia"/>
                <w:sz w:val="21"/>
                <w:szCs w:val="21"/>
                <w:vertAlign w:val="superscript"/>
              </w:rPr>
              <w:t>3</w:t>
            </w:r>
            <w:r>
              <w:rPr>
                <w:rFonts w:hint="eastAsia"/>
                <w:sz w:val="21"/>
                <w:szCs w:val="21"/>
                <w:lang w:eastAsia="zh-CN"/>
              </w:rPr>
              <w:t>。</w:t>
            </w:r>
          </w:p>
          <w:p w14:paraId="034E4298">
            <w:pPr>
              <w:keepNext w:val="0"/>
              <w:keepLines w:val="0"/>
              <w:pageBreakBefore w:val="0"/>
              <w:kinsoku/>
              <w:wordWrap/>
              <w:overflowPunct/>
              <w:topLinePunct w:val="0"/>
              <w:autoSpaceDE/>
              <w:autoSpaceDN/>
              <w:bidi w:val="0"/>
              <w:adjustRightInd/>
              <w:snapToGrid w:val="0"/>
              <w:spacing w:line="360" w:lineRule="auto"/>
              <w:ind w:firstLine="480"/>
              <w:textAlignment w:val="auto"/>
              <w:rPr>
                <w:sz w:val="21"/>
                <w:szCs w:val="21"/>
              </w:rPr>
            </w:pPr>
            <w:r>
              <w:rPr>
                <w:rFonts w:hint="eastAsia"/>
                <w:sz w:val="21"/>
                <w:szCs w:val="21"/>
              </w:rPr>
              <w:t>综上所述本项目排放废气情况如下表</w:t>
            </w:r>
          </w:p>
          <w:p w14:paraId="1EDE9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21"/>
                <w:szCs w:val="21"/>
                <w:lang w:val="zh-CN" w:eastAsia="zh-CN"/>
              </w:rPr>
            </w:pPr>
            <w:r>
              <w:rPr>
                <w:rFonts w:hint="eastAsia" w:ascii="黑体" w:hAnsi="黑体" w:eastAsia="黑体" w:cs="黑体"/>
                <w:sz w:val="21"/>
                <w:szCs w:val="21"/>
                <w:lang w:val="zh-CN" w:eastAsia="zh-CN"/>
              </w:rPr>
              <w:t>表</w:t>
            </w:r>
            <w:r>
              <w:rPr>
                <w:rFonts w:hint="eastAsia" w:ascii="黑体" w:hAnsi="黑体" w:eastAsia="黑体" w:cs="黑体"/>
                <w:sz w:val="21"/>
                <w:szCs w:val="21"/>
                <w:lang w:val="en-US" w:eastAsia="zh-CN"/>
              </w:rPr>
              <w:t>4-1</w:t>
            </w:r>
            <w:r>
              <w:rPr>
                <w:rFonts w:hint="eastAsia" w:ascii="黑体" w:hAnsi="黑体" w:eastAsia="黑体" w:cs="黑体"/>
                <w:sz w:val="21"/>
                <w:szCs w:val="21"/>
                <w:lang w:val="zh-CN" w:eastAsia="zh-CN"/>
              </w:rPr>
              <w:t xml:space="preserve">   本项目排放废气情况</w:t>
            </w:r>
          </w:p>
          <w:tbl>
            <w:tblPr>
              <w:tblStyle w:val="30"/>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811"/>
              <w:gridCol w:w="676"/>
              <w:gridCol w:w="505"/>
              <w:gridCol w:w="904"/>
              <w:gridCol w:w="1342"/>
              <w:gridCol w:w="642"/>
              <w:gridCol w:w="774"/>
              <w:gridCol w:w="1192"/>
              <w:gridCol w:w="1201"/>
            </w:tblGrid>
            <w:tr w14:paraId="3D11E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5" w:type="pct"/>
                  <w:tcBorders>
                    <w:tl2br w:val="nil"/>
                    <w:tr2bl w:val="nil"/>
                  </w:tcBorders>
                  <w:vAlign w:val="center"/>
                </w:tcPr>
                <w:p w14:paraId="267648CC">
                  <w:pPr>
                    <w:snapToGrid w:val="0"/>
                    <w:spacing w:line="240" w:lineRule="auto"/>
                    <w:ind w:firstLine="0" w:firstLineChars="0"/>
                    <w:jc w:val="center"/>
                    <w:rPr>
                      <w:sz w:val="21"/>
                      <w:szCs w:val="21"/>
                    </w:rPr>
                  </w:pPr>
                  <w:r>
                    <w:rPr>
                      <w:rFonts w:hint="eastAsia"/>
                      <w:sz w:val="21"/>
                      <w:szCs w:val="21"/>
                    </w:rPr>
                    <w:t>序号</w:t>
                  </w:r>
                </w:p>
              </w:tc>
              <w:tc>
                <w:tcPr>
                  <w:tcW w:w="479" w:type="pct"/>
                  <w:tcBorders>
                    <w:tl2br w:val="nil"/>
                    <w:tr2bl w:val="nil"/>
                  </w:tcBorders>
                  <w:vAlign w:val="center"/>
                </w:tcPr>
                <w:p w14:paraId="0876F980">
                  <w:pPr>
                    <w:snapToGrid w:val="0"/>
                    <w:spacing w:line="240" w:lineRule="auto"/>
                    <w:ind w:firstLine="0" w:firstLineChars="0"/>
                    <w:jc w:val="center"/>
                    <w:rPr>
                      <w:sz w:val="21"/>
                      <w:szCs w:val="21"/>
                    </w:rPr>
                  </w:pPr>
                  <w:r>
                    <w:rPr>
                      <w:sz w:val="21"/>
                      <w:szCs w:val="21"/>
                    </w:rPr>
                    <w:t>污染环节</w:t>
                  </w:r>
                </w:p>
              </w:tc>
              <w:tc>
                <w:tcPr>
                  <w:tcW w:w="400" w:type="pct"/>
                  <w:tcBorders>
                    <w:tl2br w:val="nil"/>
                    <w:tr2bl w:val="nil"/>
                  </w:tcBorders>
                  <w:vAlign w:val="center"/>
                </w:tcPr>
                <w:p w14:paraId="7247E206">
                  <w:pPr>
                    <w:snapToGrid w:val="0"/>
                    <w:spacing w:line="240" w:lineRule="auto"/>
                    <w:ind w:firstLine="0" w:firstLineChars="0"/>
                    <w:jc w:val="center"/>
                    <w:rPr>
                      <w:sz w:val="21"/>
                      <w:szCs w:val="21"/>
                    </w:rPr>
                  </w:pPr>
                  <w:r>
                    <w:rPr>
                      <w:sz w:val="21"/>
                      <w:szCs w:val="21"/>
                    </w:rPr>
                    <w:t>污染物名称</w:t>
                  </w:r>
                </w:p>
              </w:tc>
              <w:tc>
                <w:tcPr>
                  <w:tcW w:w="299" w:type="pct"/>
                  <w:tcBorders>
                    <w:tl2br w:val="nil"/>
                    <w:tr2bl w:val="nil"/>
                  </w:tcBorders>
                  <w:vAlign w:val="center"/>
                </w:tcPr>
                <w:p w14:paraId="339A61C8">
                  <w:pPr>
                    <w:snapToGrid w:val="0"/>
                    <w:spacing w:line="240" w:lineRule="auto"/>
                    <w:ind w:firstLine="0" w:firstLineChars="0"/>
                    <w:jc w:val="center"/>
                    <w:rPr>
                      <w:sz w:val="21"/>
                      <w:szCs w:val="21"/>
                    </w:rPr>
                  </w:pPr>
                  <w:r>
                    <w:rPr>
                      <w:sz w:val="21"/>
                      <w:szCs w:val="21"/>
                    </w:rPr>
                    <w:t>排放方式</w:t>
                  </w:r>
                </w:p>
              </w:tc>
              <w:tc>
                <w:tcPr>
                  <w:tcW w:w="533" w:type="pct"/>
                  <w:tcBorders>
                    <w:tl2br w:val="nil"/>
                    <w:tr2bl w:val="nil"/>
                  </w:tcBorders>
                  <w:vAlign w:val="center"/>
                </w:tcPr>
                <w:p w14:paraId="2C537C2A">
                  <w:pPr>
                    <w:snapToGrid w:val="0"/>
                    <w:spacing w:line="240" w:lineRule="auto"/>
                    <w:ind w:firstLine="0" w:firstLineChars="0"/>
                    <w:jc w:val="center"/>
                    <w:rPr>
                      <w:sz w:val="21"/>
                      <w:szCs w:val="21"/>
                    </w:rPr>
                  </w:pPr>
                  <w:r>
                    <w:rPr>
                      <w:sz w:val="21"/>
                      <w:szCs w:val="21"/>
                    </w:rPr>
                    <w:t>产生量</w:t>
                  </w:r>
                  <w:r>
                    <w:rPr>
                      <w:rFonts w:hint="eastAsia"/>
                      <w:sz w:val="21"/>
                      <w:szCs w:val="21"/>
                    </w:rPr>
                    <w:t>（t/a）</w:t>
                  </w:r>
                </w:p>
              </w:tc>
              <w:tc>
                <w:tcPr>
                  <w:tcW w:w="791" w:type="pct"/>
                  <w:tcBorders>
                    <w:tl2br w:val="nil"/>
                    <w:tr2bl w:val="nil"/>
                  </w:tcBorders>
                  <w:vAlign w:val="center"/>
                </w:tcPr>
                <w:p w14:paraId="60D6FBEB">
                  <w:pPr>
                    <w:snapToGrid w:val="0"/>
                    <w:spacing w:line="240" w:lineRule="auto"/>
                    <w:ind w:firstLine="0" w:firstLineChars="0"/>
                    <w:jc w:val="center"/>
                    <w:rPr>
                      <w:sz w:val="21"/>
                      <w:szCs w:val="21"/>
                    </w:rPr>
                  </w:pPr>
                  <w:r>
                    <w:rPr>
                      <w:sz w:val="21"/>
                      <w:szCs w:val="21"/>
                    </w:rPr>
                    <w:t>治理措施</w:t>
                  </w:r>
                </w:p>
              </w:tc>
              <w:tc>
                <w:tcPr>
                  <w:tcW w:w="379" w:type="pct"/>
                  <w:tcBorders>
                    <w:tl2br w:val="nil"/>
                    <w:tr2bl w:val="nil"/>
                  </w:tcBorders>
                  <w:vAlign w:val="center"/>
                </w:tcPr>
                <w:p w14:paraId="14896DDB">
                  <w:pPr>
                    <w:snapToGrid w:val="0"/>
                    <w:spacing w:line="240" w:lineRule="auto"/>
                    <w:ind w:firstLine="0" w:firstLineChars="0"/>
                    <w:jc w:val="center"/>
                    <w:rPr>
                      <w:sz w:val="21"/>
                      <w:szCs w:val="21"/>
                    </w:rPr>
                  </w:pPr>
                  <w:r>
                    <w:rPr>
                      <w:sz w:val="21"/>
                      <w:szCs w:val="21"/>
                    </w:rPr>
                    <w:t>收集率%</w:t>
                  </w:r>
                </w:p>
              </w:tc>
              <w:tc>
                <w:tcPr>
                  <w:tcW w:w="457" w:type="pct"/>
                  <w:tcBorders>
                    <w:tl2br w:val="nil"/>
                    <w:tr2bl w:val="nil"/>
                  </w:tcBorders>
                  <w:vAlign w:val="center"/>
                </w:tcPr>
                <w:p w14:paraId="4AFE72F4">
                  <w:pPr>
                    <w:snapToGrid w:val="0"/>
                    <w:spacing w:line="240" w:lineRule="auto"/>
                    <w:ind w:firstLine="0" w:firstLineChars="0"/>
                    <w:jc w:val="center"/>
                    <w:rPr>
                      <w:sz w:val="21"/>
                      <w:szCs w:val="21"/>
                    </w:rPr>
                  </w:pPr>
                  <w:r>
                    <w:rPr>
                      <w:sz w:val="21"/>
                      <w:szCs w:val="21"/>
                    </w:rPr>
                    <w:t>去除率%</w:t>
                  </w:r>
                </w:p>
              </w:tc>
              <w:tc>
                <w:tcPr>
                  <w:tcW w:w="683" w:type="pct"/>
                  <w:tcBorders>
                    <w:tl2br w:val="nil"/>
                    <w:tr2bl w:val="nil"/>
                  </w:tcBorders>
                  <w:vAlign w:val="center"/>
                </w:tcPr>
                <w:p w14:paraId="24CE4C6D">
                  <w:pPr>
                    <w:snapToGrid w:val="0"/>
                    <w:spacing w:line="240" w:lineRule="auto"/>
                    <w:ind w:firstLine="0" w:firstLineChars="0"/>
                    <w:jc w:val="center"/>
                    <w:rPr>
                      <w:sz w:val="21"/>
                      <w:szCs w:val="21"/>
                    </w:rPr>
                  </w:pPr>
                  <w:r>
                    <w:rPr>
                      <w:sz w:val="21"/>
                      <w:szCs w:val="21"/>
                    </w:rPr>
                    <w:t>排放量</w:t>
                  </w:r>
                  <w:r>
                    <w:rPr>
                      <w:rFonts w:hint="eastAsia"/>
                      <w:sz w:val="21"/>
                      <w:szCs w:val="21"/>
                    </w:rPr>
                    <w:t>（t/a）</w:t>
                  </w:r>
                </w:p>
              </w:tc>
              <w:tc>
                <w:tcPr>
                  <w:tcW w:w="708" w:type="pct"/>
                  <w:tcBorders>
                    <w:tl2br w:val="nil"/>
                    <w:tr2bl w:val="nil"/>
                  </w:tcBorders>
                  <w:vAlign w:val="center"/>
                </w:tcPr>
                <w:p w14:paraId="23C22D35">
                  <w:pPr>
                    <w:snapToGrid w:val="0"/>
                    <w:spacing w:line="240" w:lineRule="auto"/>
                    <w:ind w:firstLine="0" w:firstLineChars="0"/>
                    <w:jc w:val="center"/>
                    <w:rPr>
                      <w:sz w:val="21"/>
                      <w:szCs w:val="21"/>
                    </w:rPr>
                  </w:pPr>
                  <w:r>
                    <w:rPr>
                      <w:sz w:val="21"/>
                      <w:szCs w:val="21"/>
                    </w:rPr>
                    <w:t>排放浓度</w:t>
                  </w:r>
                  <w:r>
                    <w:rPr>
                      <w:rFonts w:hint="eastAsia"/>
                      <w:sz w:val="21"/>
                      <w:szCs w:val="21"/>
                    </w:rPr>
                    <w:t>（</w:t>
                  </w:r>
                  <w:r>
                    <w:rPr>
                      <w:sz w:val="21"/>
                      <w:szCs w:val="21"/>
                    </w:rPr>
                    <w:t>mg/m</w:t>
                  </w:r>
                  <w:r>
                    <w:rPr>
                      <w:rFonts w:hint="eastAsia"/>
                      <w:sz w:val="21"/>
                      <w:szCs w:val="21"/>
                      <w:vertAlign w:val="superscript"/>
                    </w:rPr>
                    <w:t>3</w:t>
                  </w:r>
                  <w:r>
                    <w:rPr>
                      <w:rFonts w:hint="eastAsia"/>
                      <w:sz w:val="21"/>
                      <w:szCs w:val="21"/>
                    </w:rPr>
                    <w:t>）</w:t>
                  </w:r>
                </w:p>
              </w:tc>
            </w:tr>
            <w:tr w14:paraId="4B099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65" w:type="pct"/>
                  <w:vMerge w:val="restart"/>
                  <w:tcBorders>
                    <w:tl2br w:val="nil"/>
                    <w:tr2bl w:val="nil"/>
                  </w:tcBorders>
                  <w:vAlign w:val="center"/>
                </w:tcPr>
                <w:p w14:paraId="03CFF6C6">
                  <w:pPr>
                    <w:snapToGrid w:val="0"/>
                    <w:spacing w:line="240" w:lineRule="auto"/>
                    <w:ind w:firstLine="0" w:firstLineChars="0"/>
                    <w:jc w:val="center"/>
                    <w:rPr>
                      <w:sz w:val="21"/>
                      <w:szCs w:val="21"/>
                    </w:rPr>
                  </w:pPr>
                  <w:r>
                    <w:rPr>
                      <w:rFonts w:hint="eastAsia"/>
                      <w:sz w:val="21"/>
                      <w:szCs w:val="21"/>
                    </w:rPr>
                    <w:t>1</w:t>
                  </w:r>
                </w:p>
              </w:tc>
              <w:tc>
                <w:tcPr>
                  <w:tcW w:w="479" w:type="pct"/>
                  <w:tcBorders>
                    <w:tl2br w:val="nil"/>
                    <w:tr2bl w:val="nil"/>
                  </w:tcBorders>
                  <w:vAlign w:val="center"/>
                </w:tcPr>
                <w:p w14:paraId="270B89B2">
                  <w:pPr>
                    <w:snapToGrid w:val="0"/>
                    <w:spacing w:line="240" w:lineRule="auto"/>
                    <w:ind w:firstLine="0" w:firstLineChars="0"/>
                    <w:jc w:val="center"/>
                    <w:rPr>
                      <w:rFonts w:hint="eastAsia"/>
                      <w:sz w:val="21"/>
                      <w:szCs w:val="21"/>
                      <w:lang w:eastAsia="zh-CN"/>
                    </w:rPr>
                  </w:pPr>
                  <w:r>
                    <w:rPr>
                      <w:rFonts w:hint="eastAsia"/>
                      <w:sz w:val="21"/>
                      <w:szCs w:val="21"/>
                      <w:lang w:val="en-US" w:eastAsia="zh-CN"/>
                    </w:rPr>
                    <w:t>混料</w:t>
                  </w:r>
                </w:p>
              </w:tc>
              <w:tc>
                <w:tcPr>
                  <w:tcW w:w="400" w:type="pct"/>
                  <w:tcBorders>
                    <w:tl2br w:val="nil"/>
                    <w:tr2bl w:val="nil"/>
                  </w:tcBorders>
                  <w:vAlign w:val="center"/>
                </w:tcPr>
                <w:p w14:paraId="6822E1E2">
                  <w:pPr>
                    <w:snapToGrid w:val="0"/>
                    <w:spacing w:line="240" w:lineRule="auto"/>
                    <w:ind w:firstLine="0" w:firstLineChars="0"/>
                    <w:jc w:val="center"/>
                    <w:rPr>
                      <w:sz w:val="21"/>
                      <w:szCs w:val="21"/>
                    </w:rPr>
                  </w:pPr>
                  <w:r>
                    <w:rPr>
                      <w:rFonts w:hint="eastAsia"/>
                      <w:sz w:val="21"/>
                      <w:szCs w:val="21"/>
                    </w:rPr>
                    <w:t>颗粒物</w:t>
                  </w:r>
                </w:p>
              </w:tc>
              <w:tc>
                <w:tcPr>
                  <w:tcW w:w="299" w:type="pct"/>
                  <w:tcBorders>
                    <w:tl2br w:val="nil"/>
                    <w:tr2bl w:val="nil"/>
                  </w:tcBorders>
                  <w:vAlign w:val="center"/>
                </w:tcPr>
                <w:p w14:paraId="668A00CE">
                  <w:pPr>
                    <w:widowControl/>
                    <w:snapToGrid w:val="0"/>
                    <w:spacing w:line="240" w:lineRule="auto"/>
                    <w:ind w:firstLine="0" w:firstLineChars="0"/>
                    <w:jc w:val="center"/>
                    <w:textAlignment w:val="center"/>
                    <w:rPr>
                      <w:sz w:val="21"/>
                      <w:szCs w:val="21"/>
                    </w:rPr>
                  </w:pPr>
                  <w:r>
                    <w:rPr>
                      <w:rFonts w:hint="eastAsia"/>
                      <w:sz w:val="21"/>
                      <w:szCs w:val="21"/>
                    </w:rPr>
                    <w:t>有组织</w:t>
                  </w:r>
                </w:p>
              </w:tc>
              <w:tc>
                <w:tcPr>
                  <w:tcW w:w="533" w:type="pct"/>
                  <w:tcBorders>
                    <w:tl2br w:val="nil"/>
                    <w:tr2bl w:val="nil"/>
                  </w:tcBorders>
                  <w:vAlign w:val="center"/>
                </w:tcPr>
                <w:p w14:paraId="54E1C6B9">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30</w:t>
                  </w:r>
                </w:p>
              </w:tc>
              <w:tc>
                <w:tcPr>
                  <w:tcW w:w="791" w:type="pct"/>
                  <w:tcBorders>
                    <w:tl2br w:val="nil"/>
                    <w:tr2bl w:val="nil"/>
                  </w:tcBorders>
                  <w:vAlign w:val="center"/>
                </w:tcPr>
                <w:p w14:paraId="5CDE8E2A">
                  <w:pPr>
                    <w:widowControl/>
                    <w:snapToGrid w:val="0"/>
                    <w:spacing w:line="240" w:lineRule="auto"/>
                    <w:ind w:firstLine="0" w:firstLineChars="0"/>
                    <w:jc w:val="center"/>
                    <w:textAlignment w:val="center"/>
                    <w:rPr>
                      <w:sz w:val="21"/>
                      <w:szCs w:val="21"/>
                    </w:rPr>
                  </w:pPr>
                  <w:r>
                    <w:rPr>
                      <w:rFonts w:hint="eastAsia"/>
                      <w:sz w:val="21"/>
                      <w:szCs w:val="21"/>
                      <w:lang w:val="en-US" w:eastAsia="zh-CN"/>
                    </w:rPr>
                    <w:t>集气罩+布袋</w:t>
                  </w:r>
                  <w:r>
                    <w:rPr>
                      <w:rFonts w:hint="eastAsia"/>
                      <w:sz w:val="21"/>
                      <w:szCs w:val="21"/>
                    </w:rPr>
                    <w:t>除尘器+15m高排气筒（DA001）</w:t>
                  </w:r>
                </w:p>
              </w:tc>
              <w:tc>
                <w:tcPr>
                  <w:tcW w:w="379" w:type="pct"/>
                  <w:tcBorders>
                    <w:tl2br w:val="nil"/>
                    <w:tr2bl w:val="nil"/>
                  </w:tcBorders>
                  <w:vAlign w:val="center"/>
                </w:tcPr>
                <w:p w14:paraId="7CC04077">
                  <w:pPr>
                    <w:widowControl/>
                    <w:snapToGrid w:val="0"/>
                    <w:spacing w:line="240" w:lineRule="auto"/>
                    <w:ind w:firstLine="0" w:firstLineChars="0"/>
                    <w:jc w:val="center"/>
                    <w:textAlignment w:val="center"/>
                    <w:rPr>
                      <w:sz w:val="21"/>
                      <w:szCs w:val="21"/>
                    </w:rPr>
                  </w:pPr>
                  <w:r>
                    <w:rPr>
                      <w:rFonts w:hint="eastAsia"/>
                      <w:sz w:val="21"/>
                      <w:szCs w:val="21"/>
                      <w:lang w:val="en-US" w:eastAsia="zh-CN"/>
                    </w:rPr>
                    <w:t>90</w:t>
                  </w:r>
                  <w:r>
                    <w:rPr>
                      <w:rFonts w:hint="eastAsia"/>
                      <w:sz w:val="21"/>
                      <w:szCs w:val="21"/>
                    </w:rPr>
                    <w:t>%</w:t>
                  </w:r>
                </w:p>
              </w:tc>
              <w:tc>
                <w:tcPr>
                  <w:tcW w:w="457" w:type="pct"/>
                  <w:tcBorders>
                    <w:tl2br w:val="nil"/>
                    <w:tr2bl w:val="nil"/>
                  </w:tcBorders>
                  <w:vAlign w:val="center"/>
                </w:tcPr>
                <w:p w14:paraId="7B21E086">
                  <w:pPr>
                    <w:widowControl/>
                    <w:snapToGrid w:val="0"/>
                    <w:spacing w:line="240" w:lineRule="auto"/>
                    <w:ind w:firstLine="0" w:firstLineChars="0"/>
                    <w:jc w:val="center"/>
                    <w:textAlignment w:val="center"/>
                    <w:rPr>
                      <w:sz w:val="21"/>
                      <w:szCs w:val="21"/>
                    </w:rPr>
                  </w:pPr>
                  <w:r>
                    <w:rPr>
                      <w:rFonts w:hint="eastAsia"/>
                      <w:sz w:val="21"/>
                      <w:szCs w:val="21"/>
                    </w:rPr>
                    <w:t>99%</w:t>
                  </w:r>
                </w:p>
              </w:tc>
              <w:tc>
                <w:tcPr>
                  <w:tcW w:w="683" w:type="pct"/>
                  <w:tcBorders>
                    <w:tl2br w:val="nil"/>
                    <w:tr2bl w:val="nil"/>
                  </w:tcBorders>
                  <w:vAlign w:val="center"/>
                </w:tcPr>
                <w:p w14:paraId="00483870">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rPr>
                    <w:t>0.</w:t>
                  </w:r>
                  <w:r>
                    <w:rPr>
                      <w:rFonts w:hint="eastAsia"/>
                      <w:sz w:val="21"/>
                      <w:szCs w:val="21"/>
                      <w:lang w:val="en-US" w:eastAsia="zh-CN"/>
                    </w:rPr>
                    <w:t>27</w:t>
                  </w:r>
                </w:p>
              </w:tc>
              <w:tc>
                <w:tcPr>
                  <w:tcW w:w="708" w:type="pct"/>
                  <w:tcBorders>
                    <w:tl2br w:val="nil"/>
                    <w:tr2bl w:val="nil"/>
                  </w:tcBorders>
                  <w:vAlign w:val="center"/>
                </w:tcPr>
                <w:p w14:paraId="0B42193F">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18</w:t>
                  </w:r>
                </w:p>
              </w:tc>
            </w:tr>
            <w:tr w14:paraId="03878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265" w:type="pct"/>
                  <w:vMerge w:val="continue"/>
                  <w:tcBorders>
                    <w:tl2br w:val="nil"/>
                    <w:tr2bl w:val="nil"/>
                  </w:tcBorders>
                  <w:vAlign w:val="center"/>
                </w:tcPr>
                <w:p w14:paraId="3AC7E785">
                  <w:pPr>
                    <w:snapToGrid w:val="0"/>
                    <w:spacing w:line="240" w:lineRule="auto"/>
                    <w:ind w:firstLine="0" w:firstLineChars="0"/>
                    <w:jc w:val="center"/>
                    <w:rPr>
                      <w:sz w:val="21"/>
                      <w:szCs w:val="21"/>
                    </w:rPr>
                  </w:pPr>
                </w:p>
              </w:tc>
              <w:tc>
                <w:tcPr>
                  <w:tcW w:w="479" w:type="pct"/>
                  <w:tcBorders>
                    <w:tl2br w:val="nil"/>
                    <w:tr2bl w:val="nil"/>
                  </w:tcBorders>
                  <w:vAlign w:val="center"/>
                </w:tcPr>
                <w:p w14:paraId="1D8929CA">
                  <w:pPr>
                    <w:snapToGrid w:val="0"/>
                    <w:spacing w:line="240" w:lineRule="auto"/>
                    <w:ind w:firstLine="0" w:firstLineChars="0"/>
                    <w:jc w:val="center"/>
                    <w:rPr>
                      <w:sz w:val="21"/>
                      <w:szCs w:val="21"/>
                    </w:rPr>
                  </w:pPr>
                  <w:r>
                    <w:rPr>
                      <w:rFonts w:hint="eastAsia"/>
                      <w:sz w:val="21"/>
                      <w:szCs w:val="21"/>
                      <w:lang w:val="en-US" w:eastAsia="zh-CN"/>
                    </w:rPr>
                    <w:t>混料</w:t>
                  </w:r>
                </w:p>
              </w:tc>
              <w:tc>
                <w:tcPr>
                  <w:tcW w:w="400" w:type="pct"/>
                  <w:tcBorders>
                    <w:tl2br w:val="nil"/>
                    <w:tr2bl w:val="nil"/>
                  </w:tcBorders>
                  <w:vAlign w:val="center"/>
                </w:tcPr>
                <w:p w14:paraId="4C9CCDE2">
                  <w:pPr>
                    <w:snapToGrid w:val="0"/>
                    <w:spacing w:line="240" w:lineRule="auto"/>
                    <w:ind w:firstLine="0" w:firstLineChars="0"/>
                    <w:jc w:val="center"/>
                    <w:rPr>
                      <w:sz w:val="21"/>
                      <w:szCs w:val="21"/>
                    </w:rPr>
                  </w:pPr>
                  <w:r>
                    <w:rPr>
                      <w:rFonts w:hint="eastAsia"/>
                      <w:sz w:val="21"/>
                      <w:szCs w:val="21"/>
                    </w:rPr>
                    <w:t>颗粒物</w:t>
                  </w:r>
                </w:p>
              </w:tc>
              <w:tc>
                <w:tcPr>
                  <w:tcW w:w="299" w:type="pct"/>
                  <w:tcBorders>
                    <w:tl2br w:val="nil"/>
                    <w:tr2bl w:val="nil"/>
                  </w:tcBorders>
                  <w:vAlign w:val="center"/>
                </w:tcPr>
                <w:p w14:paraId="588A1FB8">
                  <w:pPr>
                    <w:widowControl/>
                    <w:snapToGrid w:val="0"/>
                    <w:spacing w:line="240" w:lineRule="auto"/>
                    <w:ind w:firstLine="0" w:firstLineChars="0"/>
                    <w:jc w:val="center"/>
                    <w:textAlignment w:val="center"/>
                    <w:rPr>
                      <w:sz w:val="21"/>
                      <w:szCs w:val="21"/>
                    </w:rPr>
                  </w:pPr>
                  <w:r>
                    <w:rPr>
                      <w:rFonts w:hint="eastAsia"/>
                      <w:sz w:val="21"/>
                      <w:szCs w:val="21"/>
                    </w:rPr>
                    <w:t>无组织</w:t>
                  </w:r>
                </w:p>
              </w:tc>
              <w:tc>
                <w:tcPr>
                  <w:tcW w:w="533" w:type="pct"/>
                  <w:tcBorders>
                    <w:tl2br w:val="nil"/>
                    <w:tr2bl w:val="nil"/>
                  </w:tcBorders>
                  <w:vAlign w:val="center"/>
                </w:tcPr>
                <w:p w14:paraId="1FA8233C">
                  <w:pPr>
                    <w:widowControl/>
                    <w:snapToGrid w:val="0"/>
                    <w:spacing w:line="240" w:lineRule="auto"/>
                    <w:ind w:firstLine="0" w:firstLineChars="0"/>
                    <w:jc w:val="center"/>
                    <w:textAlignment w:val="center"/>
                    <w:rPr>
                      <w:sz w:val="21"/>
                      <w:szCs w:val="21"/>
                    </w:rPr>
                  </w:pPr>
                  <w:r>
                    <w:rPr>
                      <w:rFonts w:hint="eastAsia"/>
                      <w:sz w:val="21"/>
                      <w:szCs w:val="21"/>
                    </w:rPr>
                    <w:t>/</w:t>
                  </w:r>
                </w:p>
              </w:tc>
              <w:tc>
                <w:tcPr>
                  <w:tcW w:w="791" w:type="pct"/>
                  <w:tcBorders>
                    <w:tl2br w:val="nil"/>
                    <w:tr2bl w:val="nil"/>
                  </w:tcBorders>
                  <w:vAlign w:val="center"/>
                </w:tcPr>
                <w:p w14:paraId="66BBBDB9">
                  <w:pPr>
                    <w:widowControl/>
                    <w:snapToGrid w:val="0"/>
                    <w:spacing w:line="240" w:lineRule="auto"/>
                    <w:ind w:firstLine="0" w:firstLineChars="0"/>
                    <w:jc w:val="center"/>
                    <w:textAlignment w:val="center"/>
                    <w:rPr>
                      <w:sz w:val="21"/>
                      <w:szCs w:val="21"/>
                    </w:rPr>
                  </w:pPr>
                  <w:r>
                    <w:rPr>
                      <w:rFonts w:hint="eastAsia"/>
                      <w:sz w:val="21"/>
                      <w:szCs w:val="21"/>
                    </w:rPr>
                    <w:t>/</w:t>
                  </w:r>
                </w:p>
              </w:tc>
              <w:tc>
                <w:tcPr>
                  <w:tcW w:w="379" w:type="pct"/>
                  <w:tcBorders>
                    <w:tl2br w:val="nil"/>
                    <w:tr2bl w:val="nil"/>
                  </w:tcBorders>
                  <w:vAlign w:val="center"/>
                </w:tcPr>
                <w:p w14:paraId="1A3BD769">
                  <w:pPr>
                    <w:widowControl/>
                    <w:snapToGrid w:val="0"/>
                    <w:spacing w:line="240" w:lineRule="auto"/>
                    <w:ind w:firstLine="0" w:firstLineChars="0"/>
                    <w:jc w:val="center"/>
                    <w:textAlignment w:val="center"/>
                    <w:rPr>
                      <w:sz w:val="21"/>
                      <w:szCs w:val="21"/>
                    </w:rPr>
                  </w:pPr>
                  <w:r>
                    <w:rPr>
                      <w:rFonts w:hint="eastAsia"/>
                      <w:sz w:val="21"/>
                      <w:szCs w:val="21"/>
                    </w:rPr>
                    <w:t>/</w:t>
                  </w:r>
                </w:p>
              </w:tc>
              <w:tc>
                <w:tcPr>
                  <w:tcW w:w="457" w:type="pct"/>
                  <w:tcBorders>
                    <w:tl2br w:val="nil"/>
                    <w:tr2bl w:val="nil"/>
                  </w:tcBorders>
                  <w:vAlign w:val="center"/>
                </w:tcPr>
                <w:p w14:paraId="7665C862">
                  <w:pPr>
                    <w:widowControl/>
                    <w:snapToGrid w:val="0"/>
                    <w:spacing w:line="240" w:lineRule="auto"/>
                    <w:ind w:firstLine="0" w:firstLineChars="0"/>
                    <w:jc w:val="center"/>
                    <w:textAlignment w:val="center"/>
                    <w:rPr>
                      <w:sz w:val="21"/>
                      <w:szCs w:val="21"/>
                    </w:rPr>
                  </w:pPr>
                  <w:r>
                    <w:rPr>
                      <w:rFonts w:hint="eastAsia"/>
                      <w:sz w:val="21"/>
                      <w:szCs w:val="21"/>
                    </w:rPr>
                    <w:t>/</w:t>
                  </w:r>
                </w:p>
              </w:tc>
              <w:tc>
                <w:tcPr>
                  <w:tcW w:w="683" w:type="pct"/>
                  <w:tcBorders>
                    <w:tl2br w:val="nil"/>
                    <w:tr2bl w:val="nil"/>
                  </w:tcBorders>
                  <w:vAlign w:val="center"/>
                </w:tcPr>
                <w:p w14:paraId="653AE53C">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0.6</w:t>
                  </w:r>
                </w:p>
              </w:tc>
              <w:tc>
                <w:tcPr>
                  <w:tcW w:w="708" w:type="pct"/>
                  <w:tcBorders>
                    <w:tl2br w:val="nil"/>
                    <w:tr2bl w:val="nil"/>
                  </w:tcBorders>
                  <w:vAlign w:val="center"/>
                </w:tcPr>
                <w:p w14:paraId="604BBBE5">
                  <w:pPr>
                    <w:widowControl/>
                    <w:snapToGrid w:val="0"/>
                    <w:spacing w:line="240" w:lineRule="auto"/>
                    <w:ind w:firstLine="0" w:firstLineChars="0"/>
                    <w:jc w:val="center"/>
                    <w:textAlignment w:val="center"/>
                    <w:rPr>
                      <w:sz w:val="21"/>
                      <w:szCs w:val="21"/>
                    </w:rPr>
                  </w:pPr>
                  <w:r>
                    <w:rPr>
                      <w:rFonts w:hint="eastAsia"/>
                      <w:sz w:val="21"/>
                      <w:szCs w:val="21"/>
                    </w:rPr>
                    <w:t>/</w:t>
                  </w:r>
                </w:p>
              </w:tc>
            </w:tr>
            <w:tr w14:paraId="6FC59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65" w:type="pct"/>
                  <w:vMerge w:val="restart"/>
                  <w:tcBorders>
                    <w:tl2br w:val="nil"/>
                    <w:tr2bl w:val="nil"/>
                  </w:tcBorders>
                  <w:vAlign w:val="center"/>
                </w:tcPr>
                <w:p w14:paraId="1BDA9F9A">
                  <w:pPr>
                    <w:widowControl/>
                    <w:snapToGrid w:val="0"/>
                    <w:spacing w:line="240" w:lineRule="auto"/>
                    <w:ind w:firstLine="0" w:firstLineChars="0"/>
                    <w:jc w:val="center"/>
                    <w:textAlignment w:val="center"/>
                    <w:rPr>
                      <w:rFonts w:hint="eastAsia"/>
                      <w:sz w:val="21"/>
                      <w:szCs w:val="21"/>
                      <w:lang w:eastAsia="zh-CN"/>
                    </w:rPr>
                  </w:pPr>
                  <w:r>
                    <w:rPr>
                      <w:rFonts w:hint="eastAsia"/>
                      <w:sz w:val="21"/>
                      <w:szCs w:val="21"/>
                      <w:lang w:val="en-US" w:eastAsia="zh-CN"/>
                    </w:rPr>
                    <w:t>2</w:t>
                  </w:r>
                </w:p>
              </w:tc>
              <w:tc>
                <w:tcPr>
                  <w:tcW w:w="479" w:type="pct"/>
                  <w:tcBorders>
                    <w:tl2br w:val="nil"/>
                    <w:tr2bl w:val="nil"/>
                  </w:tcBorders>
                  <w:vAlign w:val="center"/>
                </w:tcPr>
                <w:p w14:paraId="36E95EF6">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塑料制品挤出设备</w:t>
                  </w:r>
                </w:p>
              </w:tc>
              <w:tc>
                <w:tcPr>
                  <w:tcW w:w="400" w:type="pct"/>
                  <w:tcBorders>
                    <w:tl2br w:val="nil"/>
                    <w:tr2bl w:val="nil"/>
                  </w:tcBorders>
                  <w:vAlign w:val="center"/>
                </w:tcPr>
                <w:p w14:paraId="69C60A5F">
                  <w:pPr>
                    <w:widowControl/>
                    <w:snapToGrid w:val="0"/>
                    <w:spacing w:line="240" w:lineRule="auto"/>
                    <w:ind w:firstLine="0" w:firstLineChars="0"/>
                    <w:jc w:val="center"/>
                    <w:textAlignment w:val="center"/>
                    <w:rPr>
                      <w:rFonts w:hint="eastAsia"/>
                      <w:sz w:val="21"/>
                      <w:szCs w:val="21"/>
                      <w:lang w:eastAsia="zh-CN"/>
                    </w:rPr>
                  </w:pPr>
                  <w:r>
                    <w:rPr>
                      <w:rFonts w:hint="eastAsia"/>
                      <w:sz w:val="21"/>
                      <w:szCs w:val="21"/>
                      <w:lang w:val="en-US" w:eastAsia="zh-CN"/>
                    </w:rPr>
                    <w:t>非甲烷总烃</w:t>
                  </w:r>
                </w:p>
              </w:tc>
              <w:tc>
                <w:tcPr>
                  <w:tcW w:w="299" w:type="pct"/>
                  <w:tcBorders>
                    <w:tl2br w:val="nil"/>
                    <w:tr2bl w:val="nil"/>
                  </w:tcBorders>
                  <w:vAlign w:val="center"/>
                </w:tcPr>
                <w:p w14:paraId="012C9957">
                  <w:pPr>
                    <w:widowControl/>
                    <w:snapToGrid w:val="0"/>
                    <w:spacing w:line="240" w:lineRule="auto"/>
                    <w:ind w:firstLine="0" w:firstLineChars="0"/>
                    <w:jc w:val="center"/>
                    <w:textAlignment w:val="center"/>
                    <w:rPr>
                      <w:sz w:val="21"/>
                      <w:szCs w:val="21"/>
                    </w:rPr>
                  </w:pPr>
                  <w:r>
                    <w:rPr>
                      <w:rFonts w:hint="eastAsia"/>
                      <w:sz w:val="21"/>
                      <w:szCs w:val="21"/>
                    </w:rPr>
                    <w:t>有组织</w:t>
                  </w:r>
                </w:p>
              </w:tc>
              <w:tc>
                <w:tcPr>
                  <w:tcW w:w="533" w:type="pct"/>
                  <w:tcBorders>
                    <w:tl2br w:val="nil"/>
                    <w:tr2bl w:val="nil"/>
                  </w:tcBorders>
                  <w:vAlign w:val="center"/>
                </w:tcPr>
                <w:p w14:paraId="45C87BE6">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12</w:t>
                  </w:r>
                </w:p>
              </w:tc>
              <w:tc>
                <w:tcPr>
                  <w:tcW w:w="791" w:type="pct"/>
                  <w:vMerge w:val="restart"/>
                  <w:tcBorders>
                    <w:tl2br w:val="nil"/>
                    <w:tr2bl w:val="nil"/>
                  </w:tcBorders>
                  <w:vAlign w:val="center"/>
                </w:tcPr>
                <w:p w14:paraId="461A7E83">
                  <w:pPr>
                    <w:widowControl/>
                    <w:snapToGrid w:val="0"/>
                    <w:spacing w:line="240" w:lineRule="auto"/>
                    <w:ind w:firstLine="0" w:firstLineChars="0"/>
                    <w:jc w:val="center"/>
                    <w:textAlignment w:val="center"/>
                    <w:rPr>
                      <w:sz w:val="21"/>
                      <w:szCs w:val="21"/>
                    </w:rPr>
                  </w:pPr>
                  <w:r>
                    <w:rPr>
                      <w:rFonts w:hint="eastAsia"/>
                      <w:sz w:val="21"/>
                      <w:szCs w:val="21"/>
                    </w:rPr>
                    <w:t>集气罩+</w:t>
                  </w:r>
                  <w:r>
                    <w:rPr>
                      <w:rFonts w:hint="eastAsia"/>
                      <w:sz w:val="21"/>
                      <w:szCs w:val="21"/>
                      <w:lang w:val="en-US" w:eastAsia="zh-CN"/>
                    </w:rPr>
                    <w:t>活性炭吸附脱附+催化燃烧器</w:t>
                  </w:r>
                  <w:r>
                    <w:rPr>
                      <w:rFonts w:hint="eastAsia"/>
                      <w:sz w:val="21"/>
                      <w:szCs w:val="21"/>
                    </w:rPr>
                    <w:t>+15m高排气筒（DA002）</w:t>
                  </w:r>
                </w:p>
              </w:tc>
              <w:tc>
                <w:tcPr>
                  <w:tcW w:w="379" w:type="pct"/>
                  <w:vMerge w:val="restart"/>
                  <w:tcBorders>
                    <w:tl2br w:val="nil"/>
                    <w:tr2bl w:val="nil"/>
                  </w:tcBorders>
                  <w:vAlign w:val="center"/>
                </w:tcPr>
                <w:p w14:paraId="4FB17539">
                  <w:pPr>
                    <w:widowControl/>
                    <w:snapToGrid w:val="0"/>
                    <w:spacing w:line="240" w:lineRule="auto"/>
                    <w:ind w:firstLine="0" w:firstLineChars="0"/>
                    <w:jc w:val="center"/>
                    <w:textAlignment w:val="center"/>
                    <w:rPr>
                      <w:sz w:val="21"/>
                      <w:szCs w:val="21"/>
                    </w:rPr>
                  </w:pPr>
                  <w:r>
                    <w:rPr>
                      <w:rFonts w:hint="eastAsia"/>
                      <w:sz w:val="21"/>
                      <w:szCs w:val="21"/>
                    </w:rPr>
                    <w:t>9</w:t>
                  </w:r>
                  <w:r>
                    <w:rPr>
                      <w:rFonts w:hint="eastAsia"/>
                      <w:sz w:val="21"/>
                      <w:szCs w:val="21"/>
                      <w:lang w:val="en-US" w:eastAsia="zh-CN"/>
                    </w:rPr>
                    <w:t>0</w:t>
                  </w:r>
                  <w:r>
                    <w:rPr>
                      <w:rFonts w:hint="eastAsia"/>
                      <w:sz w:val="21"/>
                      <w:szCs w:val="21"/>
                    </w:rPr>
                    <w:t>%</w:t>
                  </w:r>
                </w:p>
              </w:tc>
              <w:tc>
                <w:tcPr>
                  <w:tcW w:w="457" w:type="pct"/>
                  <w:vMerge w:val="restart"/>
                  <w:tcBorders>
                    <w:tl2br w:val="nil"/>
                    <w:tr2bl w:val="nil"/>
                  </w:tcBorders>
                  <w:vAlign w:val="center"/>
                </w:tcPr>
                <w:p w14:paraId="228D3BD9">
                  <w:pPr>
                    <w:widowControl/>
                    <w:snapToGrid w:val="0"/>
                    <w:spacing w:line="240" w:lineRule="auto"/>
                    <w:ind w:firstLine="0" w:firstLineChars="0"/>
                    <w:jc w:val="center"/>
                    <w:textAlignment w:val="center"/>
                    <w:rPr>
                      <w:sz w:val="21"/>
                      <w:szCs w:val="21"/>
                    </w:rPr>
                  </w:pPr>
                  <w:r>
                    <w:rPr>
                      <w:rFonts w:hint="eastAsia"/>
                      <w:sz w:val="21"/>
                      <w:szCs w:val="21"/>
                      <w:lang w:val="en-US" w:eastAsia="zh-CN"/>
                    </w:rPr>
                    <w:t>80</w:t>
                  </w:r>
                  <w:r>
                    <w:rPr>
                      <w:rFonts w:hint="eastAsia"/>
                      <w:sz w:val="21"/>
                      <w:szCs w:val="21"/>
                    </w:rPr>
                    <w:t>%</w:t>
                  </w:r>
                </w:p>
              </w:tc>
              <w:tc>
                <w:tcPr>
                  <w:tcW w:w="683" w:type="pct"/>
                  <w:vMerge w:val="restart"/>
                  <w:tcBorders>
                    <w:tl2br w:val="nil"/>
                    <w:tr2bl w:val="nil"/>
                  </w:tcBorders>
                  <w:vAlign w:val="center"/>
                </w:tcPr>
                <w:p w14:paraId="54F738B3">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3.86</w:t>
                  </w:r>
                </w:p>
              </w:tc>
              <w:tc>
                <w:tcPr>
                  <w:tcW w:w="708" w:type="pct"/>
                  <w:vMerge w:val="restart"/>
                  <w:tcBorders>
                    <w:tl2br w:val="nil"/>
                    <w:tr2bl w:val="nil"/>
                  </w:tcBorders>
                  <w:vAlign w:val="center"/>
                </w:tcPr>
                <w:p w14:paraId="2CE30DBC">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25.74</w:t>
                  </w:r>
                </w:p>
              </w:tc>
            </w:tr>
            <w:tr w14:paraId="0251F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65" w:type="pct"/>
                  <w:vMerge w:val="continue"/>
                  <w:tcBorders>
                    <w:tl2br w:val="nil"/>
                    <w:tr2bl w:val="nil"/>
                  </w:tcBorders>
                  <w:vAlign w:val="center"/>
                </w:tcPr>
                <w:p w14:paraId="69B92542">
                  <w:pPr>
                    <w:widowControl/>
                    <w:snapToGrid w:val="0"/>
                    <w:spacing w:line="240" w:lineRule="auto"/>
                    <w:ind w:firstLine="0" w:firstLineChars="0"/>
                    <w:jc w:val="center"/>
                    <w:textAlignment w:val="center"/>
                    <w:rPr>
                      <w:sz w:val="21"/>
                      <w:szCs w:val="21"/>
                    </w:rPr>
                  </w:pPr>
                </w:p>
              </w:tc>
              <w:tc>
                <w:tcPr>
                  <w:tcW w:w="479" w:type="pct"/>
                  <w:tcBorders>
                    <w:tl2br w:val="nil"/>
                    <w:tr2bl w:val="nil"/>
                  </w:tcBorders>
                  <w:vAlign w:val="center"/>
                </w:tcPr>
                <w:p w14:paraId="1C090370">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原项目玻璃钢生产线</w:t>
                  </w:r>
                </w:p>
              </w:tc>
              <w:tc>
                <w:tcPr>
                  <w:tcW w:w="400" w:type="pct"/>
                  <w:tcBorders>
                    <w:tl2br w:val="nil"/>
                    <w:tr2bl w:val="nil"/>
                  </w:tcBorders>
                  <w:vAlign w:val="center"/>
                </w:tcPr>
                <w:p w14:paraId="4E297378">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非甲烷总烃</w:t>
                  </w:r>
                </w:p>
              </w:tc>
              <w:tc>
                <w:tcPr>
                  <w:tcW w:w="299" w:type="pct"/>
                  <w:tcBorders>
                    <w:tl2br w:val="nil"/>
                    <w:tr2bl w:val="nil"/>
                  </w:tcBorders>
                  <w:vAlign w:val="center"/>
                </w:tcPr>
                <w:p w14:paraId="280F89F1">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rPr>
                    <w:t>有组织</w:t>
                  </w:r>
                </w:p>
              </w:tc>
              <w:tc>
                <w:tcPr>
                  <w:tcW w:w="533" w:type="pct"/>
                  <w:tcBorders>
                    <w:tl2br w:val="nil"/>
                    <w:tr2bl w:val="nil"/>
                  </w:tcBorders>
                  <w:vAlign w:val="center"/>
                </w:tcPr>
                <w:p w14:paraId="44FFD061">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9.45</w:t>
                  </w:r>
                </w:p>
              </w:tc>
              <w:tc>
                <w:tcPr>
                  <w:tcW w:w="791" w:type="pct"/>
                  <w:vMerge w:val="continue"/>
                  <w:tcBorders>
                    <w:tl2br w:val="nil"/>
                    <w:tr2bl w:val="nil"/>
                  </w:tcBorders>
                  <w:vAlign w:val="center"/>
                </w:tcPr>
                <w:p w14:paraId="324C3798">
                  <w:pPr>
                    <w:widowControl/>
                    <w:snapToGrid w:val="0"/>
                    <w:spacing w:line="240" w:lineRule="auto"/>
                    <w:ind w:firstLine="0" w:firstLineChars="0"/>
                    <w:jc w:val="center"/>
                    <w:textAlignment w:val="center"/>
                    <w:rPr>
                      <w:rFonts w:hint="eastAsia"/>
                      <w:sz w:val="21"/>
                      <w:szCs w:val="21"/>
                      <w:lang w:val="en-US" w:eastAsia="zh-CN"/>
                    </w:rPr>
                  </w:pPr>
                </w:p>
              </w:tc>
              <w:tc>
                <w:tcPr>
                  <w:tcW w:w="379" w:type="pct"/>
                  <w:vMerge w:val="continue"/>
                  <w:tcBorders>
                    <w:tl2br w:val="nil"/>
                    <w:tr2bl w:val="nil"/>
                  </w:tcBorders>
                  <w:vAlign w:val="center"/>
                </w:tcPr>
                <w:p w14:paraId="4ABAAB83">
                  <w:pPr>
                    <w:widowControl/>
                    <w:snapToGrid w:val="0"/>
                    <w:spacing w:line="240" w:lineRule="auto"/>
                    <w:ind w:firstLine="0" w:firstLineChars="0"/>
                    <w:jc w:val="center"/>
                    <w:textAlignment w:val="center"/>
                    <w:rPr>
                      <w:rFonts w:hint="eastAsia"/>
                      <w:sz w:val="21"/>
                      <w:szCs w:val="21"/>
                      <w:lang w:val="en-US" w:eastAsia="zh-CN"/>
                    </w:rPr>
                  </w:pPr>
                </w:p>
              </w:tc>
              <w:tc>
                <w:tcPr>
                  <w:tcW w:w="457" w:type="pct"/>
                  <w:vMerge w:val="continue"/>
                  <w:tcBorders>
                    <w:tl2br w:val="nil"/>
                    <w:tr2bl w:val="nil"/>
                  </w:tcBorders>
                  <w:vAlign w:val="center"/>
                </w:tcPr>
                <w:p w14:paraId="326F186B">
                  <w:pPr>
                    <w:widowControl/>
                    <w:snapToGrid w:val="0"/>
                    <w:spacing w:line="240" w:lineRule="auto"/>
                    <w:ind w:firstLine="0" w:firstLineChars="0"/>
                    <w:jc w:val="center"/>
                    <w:textAlignment w:val="center"/>
                    <w:rPr>
                      <w:rFonts w:hint="eastAsia"/>
                      <w:sz w:val="21"/>
                      <w:szCs w:val="21"/>
                      <w:lang w:val="en-US" w:eastAsia="zh-CN"/>
                    </w:rPr>
                  </w:pPr>
                </w:p>
              </w:tc>
              <w:tc>
                <w:tcPr>
                  <w:tcW w:w="683" w:type="pct"/>
                  <w:vMerge w:val="continue"/>
                  <w:tcBorders>
                    <w:tl2br w:val="nil"/>
                    <w:tr2bl w:val="nil"/>
                  </w:tcBorders>
                  <w:vAlign w:val="center"/>
                </w:tcPr>
                <w:p w14:paraId="6651869C">
                  <w:pPr>
                    <w:widowControl/>
                    <w:snapToGrid w:val="0"/>
                    <w:spacing w:line="240" w:lineRule="auto"/>
                    <w:ind w:firstLine="0" w:firstLineChars="0"/>
                    <w:jc w:val="center"/>
                    <w:textAlignment w:val="center"/>
                    <w:rPr>
                      <w:rFonts w:hint="eastAsia"/>
                      <w:sz w:val="21"/>
                      <w:szCs w:val="21"/>
                      <w:lang w:val="en-US" w:eastAsia="zh-CN"/>
                    </w:rPr>
                  </w:pPr>
                </w:p>
              </w:tc>
              <w:tc>
                <w:tcPr>
                  <w:tcW w:w="708" w:type="pct"/>
                  <w:vMerge w:val="continue"/>
                  <w:tcBorders>
                    <w:tl2br w:val="nil"/>
                    <w:tr2bl w:val="nil"/>
                  </w:tcBorders>
                  <w:vAlign w:val="center"/>
                </w:tcPr>
                <w:p w14:paraId="15EC9A89">
                  <w:pPr>
                    <w:widowControl/>
                    <w:snapToGrid w:val="0"/>
                    <w:spacing w:line="240" w:lineRule="auto"/>
                    <w:ind w:firstLine="0" w:firstLineChars="0"/>
                    <w:jc w:val="center"/>
                    <w:textAlignment w:val="center"/>
                    <w:rPr>
                      <w:rFonts w:hint="eastAsia"/>
                      <w:sz w:val="21"/>
                      <w:szCs w:val="21"/>
                      <w:lang w:val="en-US" w:eastAsia="zh-CN"/>
                    </w:rPr>
                  </w:pPr>
                </w:p>
              </w:tc>
            </w:tr>
            <w:tr w14:paraId="5E81A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65" w:type="pct"/>
                  <w:vMerge w:val="continue"/>
                  <w:tcBorders>
                    <w:tl2br w:val="nil"/>
                    <w:tr2bl w:val="nil"/>
                  </w:tcBorders>
                  <w:vAlign w:val="center"/>
                </w:tcPr>
                <w:p w14:paraId="72430BEB">
                  <w:pPr>
                    <w:widowControl/>
                    <w:snapToGrid w:val="0"/>
                    <w:spacing w:line="240" w:lineRule="auto"/>
                    <w:ind w:firstLine="0" w:firstLineChars="0"/>
                    <w:jc w:val="center"/>
                    <w:textAlignment w:val="center"/>
                    <w:rPr>
                      <w:sz w:val="21"/>
                      <w:szCs w:val="21"/>
                    </w:rPr>
                  </w:pPr>
                </w:p>
              </w:tc>
              <w:tc>
                <w:tcPr>
                  <w:tcW w:w="479" w:type="pct"/>
                  <w:tcBorders>
                    <w:tl2br w:val="nil"/>
                    <w:tr2bl w:val="nil"/>
                  </w:tcBorders>
                  <w:vAlign w:val="center"/>
                </w:tcPr>
                <w:p w14:paraId="3294CA41">
                  <w:pPr>
                    <w:widowControl/>
                    <w:snapToGrid w:val="0"/>
                    <w:spacing w:line="240" w:lineRule="auto"/>
                    <w:ind w:firstLine="0" w:firstLineChars="0"/>
                    <w:jc w:val="center"/>
                    <w:textAlignment w:val="center"/>
                    <w:rPr>
                      <w:sz w:val="21"/>
                      <w:szCs w:val="21"/>
                    </w:rPr>
                  </w:pPr>
                  <w:r>
                    <w:rPr>
                      <w:rFonts w:hint="eastAsia"/>
                      <w:sz w:val="21"/>
                      <w:szCs w:val="21"/>
                      <w:lang w:val="en-US" w:eastAsia="zh-CN"/>
                    </w:rPr>
                    <w:t>塑料制品挤出设备</w:t>
                  </w:r>
                </w:p>
              </w:tc>
              <w:tc>
                <w:tcPr>
                  <w:tcW w:w="400" w:type="pct"/>
                  <w:tcBorders>
                    <w:tl2br w:val="nil"/>
                    <w:tr2bl w:val="nil"/>
                  </w:tcBorders>
                  <w:vAlign w:val="center"/>
                </w:tcPr>
                <w:p w14:paraId="167D88E8">
                  <w:pPr>
                    <w:widowControl/>
                    <w:snapToGrid w:val="0"/>
                    <w:spacing w:line="240" w:lineRule="auto"/>
                    <w:ind w:firstLine="0" w:firstLineChars="0"/>
                    <w:jc w:val="center"/>
                    <w:textAlignment w:val="center"/>
                    <w:rPr>
                      <w:sz w:val="21"/>
                      <w:szCs w:val="21"/>
                    </w:rPr>
                  </w:pPr>
                  <w:r>
                    <w:rPr>
                      <w:rFonts w:hint="eastAsia"/>
                      <w:sz w:val="21"/>
                      <w:szCs w:val="21"/>
                      <w:lang w:val="en-US" w:eastAsia="zh-CN"/>
                    </w:rPr>
                    <w:t>非甲烷总烃</w:t>
                  </w:r>
                </w:p>
              </w:tc>
              <w:tc>
                <w:tcPr>
                  <w:tcW w:w="299" w:type="pct"/>
                  <w:tcBorders>
                    <w:tl2br w:val="nil"/>
                    <w:tr2bl w:val="nil"/>
                  </w:tcBorders>
                  <w:vAlign w:val="center"/>
                </w:tcPr>
                <w:p w14:paraId="01B74B83">
                  <w:pPr>
                    <w:widowControl/>
                    <w:snapToGrid w:val="0"/>
                    <w:spacing w:line="240" w:lineRule="auto"/>
                    <w:ind w:firstLine="0" w:firstLineChars="0"/>
                    <w:jc w:val="center"/>
                    <w:textAlignment w:val="center"/>
                    <w:rPr>
                      <w:sz w:val="21"/>
                      <w:szCs w:val="21"/>
                    </w:rPr>
                  </w:pPr>
                  <w:r>
                    <w:rPr>
                      <w:rFonts w:hint="eastAsia"/>
                      <w:sz w:val="21"/>
                      <w:szCs w:val="21"/>
                    </w:rPr>
                    <w:t>无组织</w:t>
                  </w:r>
                </w:p>
              </w:tc>
              <w:tc>
                <w:tcPr>
                  <w:tcW w:w="533" w:type="pct"/>
                  <w:tcBorders>
                    <w:tl2br w:val="nil"/>
                    <w:tr2bl w:val="nil"/>
                  </w:tcBorders>
                  <w:vAlign w:val="center"/>
                </w:tcPr>
                <w:p w14:paraId="2B2BAEA4">
                  <w:pPr>
                    <w:widowControl/>
                    <w:snapToGrid w:val="0"/>
                    <w:spacing w:line="240" w:lineRule="auto"/>
                    <w:ind w:firstLine="0" w:firstLineChars="0"/>
                    <w:jc w:val="center"/>
                    <w:textAlignment w:val="center"/>
                    <w:rPr>
                      <w:sz w:val="21"/>
                      <w:szCs w:val="21"/>
                    </w:rPr>
                  </w:pPr>
                  <w:r>
                    <w:rPr>
                      <w:rFonts w:hint="eastAsia"/>
                      <w:sz w:val="21"/>
                      <w:szCs w:val="21"/>
                    </w:rPr>
                    <w:t>/</w:t>
                  </w:r>
                </w:p>
              </w:tc>
              <w:tc>
                <w:tcPr>
                  <w:tcW w:w="791" w:type="pct"/>
                  <w:tcBorders>
                    <w:tl2br w:val="nil"/>
                    <w:tr2bl w:val="nil"/>
                  </w:tcBorders>
                  <w:vAlign w:val="center"/>
                </w:tcPr>
                <w:p w14:paraId="23CBD253">
                  <w:pPr>
                    <w:widowControl/>
                    <w:snapToGrid w:val="0"/>
                    <w:spacing w:line="240" w:lineRule="auto"/>
                    <w:ind w:firstLine="0" w:firstLineChars="0"/>
                    <w:jc w:val="center"/>
                    <w:textAlignment w:val="center"/>
                    <w:rPr>
                      <w:sz w:val="21"/>
                      <w:szCs w:val="21"/>
                    </w:rPr>
                  </w:pPr>
                  <w:r>
                    <w:rPr>
                      <w:rFonts w:hint="eastAsia"/>
                      <w:sz w:val="21"/>
                      <w:szCs w:val="21"/>
                    </w:rPr>
                    <w:t>/</w:t>
                  </w:r>
                </w:p>
              </w:tc>
              <w:tc>
                <w:tcPr>
                  <w:tcW w:w="379" w:type="pct"/>
                  <w:tcBorders>
                    <w:tl2br w:val="nil"/>
                    <w:tr2bl w:val="nil"/>
                  </w:tcBorders>
                  <w:vAlign w:val="center"/>
                </w:tcPr>
                <w:p w14:paraId="187A45A4">
                  <w:pPr>
                    <w:widowControl/>
                    <w:snapToGrid w:val="0"/>
                    <w:spacing w:line="240" w:lineRule="auto"/>
                    <w:ind w:firstLine="0" w:firstLineChars="0"/>
                    <w:jc w:val="center"/>
                    <w:textAlignment w:val="center"/>
                    <w:rPr>
                      <w:sz w:val="21"/>
                      <w:szCs w:val="21"/>
                    </w:rPr>
                  </w:pPr>
                  <w:r>
                    <w:rPr>
                      <w:rFonts w:hint="eastAsia"/>
                      <w:sz w:val="21"/>
                      <w:szCs w:val="21"/>
                    </w:rPr>
                    <w:t>/</w:t>
                  </w:r>
                </w:p>
              </w:tc>
              <w:tc>
                <w:tcPr>
                  <w:tcW w:w="457" w:type="pct"/>
                  <w:tcBorders>
                    <w:tl2br w:val="nil"/>
                    <w:tr2bl w:val="nil"/>
                  </w:tcBorders>
                  <w:vAlign w:val="center"/>
                </w:tcPr>
                <w:p w14:paraId="3211EFBA">
                  <w:pPr>
                    <w:widowControl/>
                    <w:snapToGrid w:val="0"/>
                    <w:spacing w:line="240" w:lineRule="auto"/>
                    <w:ind w:firstLine="0" w:firstLineChars="0"/>
                    <w:jc w:val="center"/>
                    <w:textAlignment w:val="center"/>
                    <w:rPr>
                      <w:sz w:val="21"/>
                      <w:szCs w:val="21"/>
                    </w:rPr>
                  </w:pPr>
                  <w:r>
                    <w:rPr>
                      <w:rFonts w:hint="eastAsia"/>
                      <w:sz w:val="21"/>
                      <w:szCs w:val="21"/>
                    </w:rPr>
                    <w:t>/</w:t>
                  </w:r>
                </w:p>
              </w:tc>
              <w:tc>
                <w:tcPr>
                  <w:tcW w:w="683" w:type="pct"/>
                  <w:tcBorders>
                    <w:tl2br w:val="nil"/>
                    <w:tr2bl w:val="nil"/>
                  </w:tcBorders>
                  <w:vAlign w:val="center"/>
                </w:tcPr>
                <w:p w14:paraId="65603433">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1.2</w:t>
                  </w:r>
                </w:p>
              </w:tc>
              <w:tc>
                <w:tcPr>
                  <w:tcW w:w="708" w:type="pct"/>
                  <w:tcBorders>
                    <w:tl2br w:val="nil"/>
                    <w:tr2bl w:val="nil"/>
                  </w:tcBorders>
                  <w:vAlign w:val="center"/>
                </w:tcPr>
                <w:p w14:paraId="1C106CBF">
                  <w:pPr>
                    <w:widowControl/>
                    <w:snapToGrid w:val="0"/>
                    <w:spacing w:line="240" w:lineRule="auto"/>
                    <w:ind w:firstLine="0" w:firstLineChars="0"/>
                    <w:jc w:val="center"/>
                    <w:textAlignment w:val="center"/>
                    <w:rPr>
                      <w:sz w:val="21"/>
                      <w:szCs w:val="21"/>
                    </w:rPr>
                  </w:pPr>
                  <w:r>
                    <w:rPr>
                      <w:rFonts w:hint="eastAsia"/>
                      <w:sz w:val="21"/>
                      <w:szCs w:val="21"/>
                    </w:rPr>
                    <w:t>/</w:t>
                  </w:r>
                </w:p>
              </w:tc>
            </w:tr>
            <w:tr w14:paraId="02C26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65" w:type="pct"/>
                  <w:vMerge w:val="restart"/>
                  <w:tcBorders>
                    <w:tl2br w:val="nil"/>
                    <w:tr2bl w:val="nil"/>
                  </w:tcBorders>
                  <w:vAlign w:val="center"/>
                </w:tcPr>
                <w:p w14:paraId="4B5DEB7D">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3</w:t>
                  </w:r>
                </w:p>
              </w:tc>
              <w:tc>
                <w:tcPr>
                  <w:tcW w:w="479" w:type="pct"/>
                  <w:tcBorders>
                    <w:tl2br w:val="nil"/>
                    <w:tr2bl w:val="nil"/>
                  </w:tcBorders>
                  <w:vAlign w:val="center"/>
                </w:tcPr>
                <w:p w14:paraId="18FEB167">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塑料制品挤出设备</w:t>
                  </w:r>
                </w:p>
              </w:tc>
              <w:tc>
                <w:tcPr>
                  <w:tcW w:w="400" w:type="pct"/>
                  <w:tcBorders>
                    <w:tl2br w:val="nil"/>
                    <w:tr2bl w:val="nil"/>
                  </w:tcBorders>
                  <w:vAlign w:val="center"/>
                </w:tcPr>
                <w:p w14:paraId="0E0F77C4">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氯化氢</w:t>
                  </w:r>
                </w:p>
              </w:tc>
              <w:tc>
                <w:tcPr>
                  <w:tcW w:w="299" w:type="pct"/>
                  <w:tcBorders>
                    <w:tl2br w:val="nil"/>
                    <w:tr2bl w:val="nil"/>
                  </w:tcBorders>
                  <w:vAlign w:val="center"/>
                </w:tcPr>
                <w:p w14:paraId="5485BFA0">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rPr>
                    <w:t>有组织</w:t>
                  </w:r>
                </w:p>
              </w:tc>
              <w:tc>
                <w:tcPr>
                  <w:tcW w:w="533" w:type="pct"/>
                  <w:tcBorders>
                    <w:tl2br w:val="nil"/>
                    <w:tr2bl w:val="nil"/>
                  </w:tcBorders>
                  <w:vAlign w:val="center"/>
                </w:tcPr>
                <w:p w14:paraId="7C72B4FF">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0.00262</w:t>
                  </w:r>
                </w:p>
              </w:tc>
              <w:tc>
                <w:tcPr>
                  <w:tcW w:w="791" w:type="pct"/>
                  <w:tcBorders>
                    <w:tl2br w:val="nil"/>
                    <w:tr2bl w:val="nil"/>
                  </w:tcBorders>
                  <w:vAlign w:val="center"/>
                </w:tcPr>
                <w:p w14:paraId="2EF140C5">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rPr>
                    <w:t>集气罩+15m高排气筒（DA002）</w:t>
                  </w:r>
                </w:p>
              </w:tc>
              <w:tc>
                <w:tcPr>
                  <w:tcW w:w="379" w:type="pct"/>
                  <w:tcBorders>
                    <w:tl2br w:val="nil"/>
                    <w:tr2bl w:val="nil"/>
                  </w:tcBorders>
                  <w:vAlign w:val="center"/>
                </w:tcPr>
                <w:p w14:paraId="73E55E3B">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rPr>
                    <w:t>9</w:t>
                  </w:r>
                  <w:r>
                    <w:rPr>
                      <w:rFonts w:hint="eastAsia"/>
                      <w:sz w:val="21"/>
                      <w:szCs w:val="21"/>
                      <w:lang w:val="en-US" w:eastAsia="zh-CN"/>
                    </w:rPr>
                    <w:t>0</w:t>
                  </w:r>
                  <w:r>
                    <w:rPr>
                      <w:rFonts w:hint="eastAsia"/>
                      <w:sz w:val="21"/>
                      <w:szCs w:val="21"/>
                    </w:rPr>
                    <w:t>%</w:t>
                  </w:r>
                </w:p>
              </w:tc>
              <w:tc>
                <w:tcPr>
                  <w:tcW w:w="457" w:type="pct"/>
                  <w:tcBorders>
                    <w:tl2br w:val="nil"/>
                    <w:tr2bl w:val="nil"/>
                  </w:tcBorders>
                  <w:vAlign w:val="center"/>
                </w:tcPr>
                <w:p w14:paraId="174D0370">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w:t>
                  </w:r>
                </w:p>
              </w:tc>
              <w:tc>
                <w:tcPr>
                  <w:tcW w:w="683" w:type="pct"/>
                  <w:tcBorders>
                    <w:tl2br w:val="nil"/>
                    <w:tr2bl w:val="nil"/>
                  </w:tcBorders>
                  <w:vAlign w:val="center"/>
                </w:tcPr>
                <w:p w14:paraId="44929AD7">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0.00235</w:t>
                  </w:r>
                </w:p>
              </w:tc>
              <w:tc>
                <w:tcPr>
                  <w:tcW w:w="708" w:type="pct"/>
                  <w:tcBorders>
                    <w:tl2br w:val="nil"/>
                    <w:tr2bl w:val="nil"/>
                  </w:tcBorders>
                  <w:vAlign w:val="center"/>
                </w:tcPr>
                <w:p w14:paraId="18C40954">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0.0038</w:t>
                  </w:r>
                </w:p>
              </w:tc>
            </w:tr>
            <w:tr w14:paraId="50039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65" w:type="pct"/>
                  <w:vMerge w:val="continue"/>
                  <w:tcBorders>
                    <w:tl2br w:val="nil"/>
                    <w:tr2bl w:val="nil"/>
                  </w:tcBorders>
                  <w:vAlign w:val="center"/>
                </w:tcPr>
                <w:p w14:paraId="1B25BA98">
                  <w:pPr>
                    <w:widowControl/>
                    <w:snapToGrid w:val="0"/>
                    <w:spacing w:line="240" w:lineRule="auto"/>
                    <w:ind w:firstLine="0" w:firstLineChars="0"/>
                    <w:jc w:val="center"/>
                    <w:textAlignment w:val="center"/>
                    <w:rPr>
                      <w:rFonts w:hint="eastAsia"/>
                      <w:sz w:val="21"/>
                      <w:szCs w:val="21"/>
                      <w:lang w:val="en-US" w:eastAsia="zh-CN"/>
                    </w:rPr>
                  </w:pPr>
                </w:p>
              </w:tc>
              <w:tc>
                <w:tcPr>
                  <w:tcW w:w="479" w:type="pct"/>
                  <w:tcBorders>
                    <w:tl2br w:val="nil"/>
                    <w:tr2bl w:val="nil"/>
                  </w:tcBorders>
                  <w:vAlign w:val="center"/>
                </w:tcPr>
                <w:p w14:paraId="756D6B57">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塑料制品挤出设备</w:t>
                  </w:r>
                </w:p>
              </w:tc>
              <w:tc>
                <w:tcPr>
                  <w:tcW w:w="400" w:type="pct"/>
                  <w:tcBorders>
                    <w:tl2br w:val="nil"/>
                    <w:tr2bl w:val="nil"/>
                  </w:tcBorders>
                  <w:vAlign w:val="center"/>
                </w:tcPr>
                <w:p w14:paraId="14E4AB2A">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氯化氢</w:t>
                  </w:r>
                </w:p>
              </w:tc>
              <w:tc>
                <w:tcPr>
                  <w:tcW w:w="299" w:type="pct"/>
                  <w:tcBorders>
                    <w:tl2br w:val="nil"/>
                    <w:tr2bl w:val="nil"/>
                  </w:tcBorders>
                  <w:vAlign w:val="center"/>
                </w:tcPr>
                <w:p w14:paraId="2CEAA733">
                  <w:pPr>
                    <w:widowControl/>
                    <w:snapToGrid w:val="0"/>
                    <w:spacing w:line="240" w:lineRule="auto"/>
                    <w:ind w:firstLine="0" w:firstLineChars="0"/>
                    <w:jc w:val="center"/>
                    <w:textAlignment w:val="center"/>
                    <w:rPr>
                      <w:rFonts w:hint="eastAsia"/>
                      <w:sz w:val="21"/>
                      <w:szCs w:val="21"/>
                      <w:lang w:val="en-US" w:eastAsia="zh-CN"/>
                    </w:rPr>
                  </w:pPr>
                  <w:r>
                    <w:rPr>
                      <w:rFonts w:hint="eastAsia"/>
                      <w:sz w:val="21"/>
                      <w:szCs w:val="21"/>
                    </w:rPr>
                    <w:t>无组织</w:t>
                  </w:r>
                </w:p>
              </w:tc>
              <w:tc>
                <w:tcPr>
                  <w:tcW w:w="533" w:type="pct"/>
                  <w:tcBorders>
                    <w:tl2br w:val="nil"/>
                    <w:tr2bl w:val="nil"/>
                  </w:tcBorders>
                  <w:vAlign w:val="center"/>
                </w:tcPr>
                <w:p w14:paraId="12797C66">
                  <w:pPr>
                    <w:widowControl/>
                    <w:snapToGrid w:val="0"/>
                    <w:spacing w:line="240" w:lineRule="auto"/>
                    <w:ind w:firstLine="0" w:firstLineChars="0"/>
                    <w:jc w:val="center"/>
                    <w:textAlignment w:val="center"/>
                    <w:rPr>
                      <w:rFonts w:hint="eastAsia"/>
                      <w:sz w:val="21"/>
                      <w:szCs w:val="21"/>
                      <w:lang w:val="en-US" w:eastAsia="zh-CN"/>
                    </w:rPr>
                  </w:pPr>
                </w:p>
              </w:tc>
              <w:tc>
                <w:tcPr>
                  <w:tcW w:w="791" w:type="pct"/>
                  <w:tcBorders>
                    <w:tl2br w:val="nil"/>
                    <w:tr2bl w:val="nil"/>
                  </w:tcBorders>
                  <w:vAlign w:val="center"/>
                </w:tcPr>
                <w:p w14:paraId="40459AEB">
                  <w:pPr>
                    <w:widowControl/>
                    <w:snapToGrid w:val="0"/>
                    <w:spacing w:line="240" w:lineRule="auto"/>
                    <w:ind w:firstLine="0" w:firstLineChars="0"/>
                    <w:jc w:val="center"/>
                    <w:textAlignment w:val="center"/>
                    <w:rPr>
                      <w:rFonts w:hint="eastAsia"/>
                      <w:sz w:val="21"/>
                      <w:szCs w:val="21"/>
                      <w:lang w:val="en-US" w:eastAsia="zh-CN"/>
                    </w:rPr>
                  </w:pPr>
                </w:p>
              </w:tc>
              <w:tc>
                <w:tcPr>
                  <w:tcW w:w="379" w:type="pct"/>
                  <w:tcBorders>
                    <w:tl2br w:val="nil"/>
                    <w:tr2bl w:val="nil"/>
                  </w:tcBorders>
                  <w:vAlign w:val="center"/>
                </w:tcPr>
                <w:p w14:paraId="2C9BE059">
                  <w:pPr>
                    <w:widowControl/>
                    <w:snapToGrid w:val="0"/>
                    <w:spacing w:line="240" w:lineRule="auto"/>
                    <w:ind w:firstLine="0" w:firstLineChars="0"/>
                    <w:jc w:val="center"/>
                    <w:textAlignment w:val="center"/>
                    <w:rPr>
                      <w:rFonts w:hint="eastAsia"/>
                      <w:sz w:val="21"/>
                      <w:szCs w:val="21"/>
                      <w:lang w:val="en-US" w:eastAsia="zh-CN"/>
                    </w:rPr>
                  </w:pPr>
                </w:p>
              </w:tc>
              <w:tc>
                <w:tcPr>
                  <w:tcW w:w="457" w:type="pct"/>
                  <w:tcBorders>
                    <w:tl2br w:val="nil"/>
                    <w:tr2bl w:val="nil"/>
                  </w:tcBorders>
                  <w:vAlign w:val="center"/>
                </w:tcPr>
                <w:p w14:paraId="3C7CE6E8">
                  <w:pPr>
                    <w:widowControl/>
                    <w:snapToGrid w:val="0"/>
                    <w:spacing w:line="240" w:lineRule="auto"/>
                    <w:ind w:firstLine="0" w:firstLineChars="0"/>
                    <w:jc w:val="center"/>
                    <w:textAlignment w:val="center"/>
                    <w:rPr>
                      <w:rFonts w:hint="eastAsia"/>
                      <w:sz w:val="21"/>
                      <w:szCs w:val="21"/>
                      <w:lang w:val="en-US" w:eastAsia="zh-CN"/>
                    </w:rPr>
                  </w:pPr>
                </w:p>
              </w:tc>
              <w:tc>
                <w:tcPr>
                  <w:tcW w:w="683" w:type="pct"/>
                  <w:tcBorders>
                    <w:tl2br w:val="nil"/>
                    <w:tr2bl w:val="nil"/>
                  </w:tcBorders>
                  <w:vAlign w:val="center"/>
                </w:tcPr>
                <w:p w14:paraId="6CB20C6D">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0.00026</w:t>
                  </w:r>
                </w:p>
              </w:tc>
              <w:tc>
                <w:tcPr>
                  <w:tcW w:w="708" w:type="pct"/>
                  <w:tcBorders>
                    <w:tl2br w:val="nil"/>
                    <w:tr2bl w:val="nil"/>
                  </w:tcBorders>
                  <w:vAlign w:val="center"/>
                </w:tcPr>
                <w:p w14:paraId="0A6B506F">
                  <w:pPr>
                    <w:widowControl/>
                    <w:snapToGrid w:val="0"/>
                    <w:spacing w:line="240" w:lineRule="auto"/>
                    <w:ind w:firstLine="0" w:firstLineChars="0"/>
                    <w:jc w:val="center"/>
                    <w:textAlignment w:val="center"/>
                    <w:rPr>
                      <w:rFonts w:hint="eastAsia"/>
                      <w:sz w:val="21"/>
                      <w:szCs w:val="21"/>
                      <w:lang w:val="en-US" w:eastAsia="zh-CN"/>
                    </w:rPr>
                  </w:pPr>
                </w:p>
              </w:tc>
            </w:tr>
            <w:tr w14:paraId="70817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265" w:type="pct"/>
                  <w:vMerge w:val="restart"/>
                  <w:tcBorders>
                    <w:tl2br w:val="nil"/>
                    <w:tr2bl w:val="nil"/>
                  </w:tcBorders>
                  <w:vAlign w:val="center"/>
                </w:tcPr>
                <w:p w14:paraId="6A5A1D69">
                  <w:pPr>
                    <w:widowControl/>
                    <w:snapToGrid w:val="0"/>
                    <w:spacing w:line="240" w:lineRule="auto"/>
                    <w:ind w:firstLine="0" w:firstLineChars="0"/>
                    <w:jc w:val="center"/>
                    <w:textAlignment w:val="center"/>
                    <w:rPr>
                      <w:rFonts w:hint="eastAsia"/>
                      <w:sz w:val="21"/>
                      <w:szCs w:val="21"/>
                      <w:lang w:eastAsia="zh-CN"/>
                    </w:rPr>
                  </w:pPr>
                  <w:r>
                    <w:rPr>
                      <w:rFonts w:hint="eastAsia"/>
                      <w:sz w:val="21"/>
                      <w:szCs w:val="21"/>
                      <w:lang w:val="en-US" w:eastAsia="zh-CN"/>
                    </w:rPr>
                    <w:t>4</w:t>
                  </w:r>
                </w:p>
              </w:tc>
              <w:tc>
                <w:tcPr>
                  <w:tcW w:w="479" w:type="pct"/>
                  <w:tcBorders>
                    <w:tl2br w:val="nil"/>
                    <w:tr2bl w:val="nil"/>
                  </w:tcBorders>
                  <w:vAlign w:val="center"/>
                </w:tcPr>
                <w:p w14:paraId="2A5E109F">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不合格品破碎</w:t>
                  </w:r>
                </w:p>
              </w:tc>
              <w:tc>
                <w:tcPr>
                  <w:tcW w:w="400" w:type="pct"/>
                  <w:tcBorders>
                    <w:tl2br w:val="nil"/>
                    <w:tr2bl w:val="nil"/>
                  </w:tcBorders>
                  <w:vAlign w:val="center"/>
                </w:tcPr>
                <w:p w14:paraId="5B45407B">
                  <w:pPr>
                    <w:widowControl/>
                    <w:snapToGrid w:val="0"/>
                    <w:spacing w:line="240" w:lineRule="auto"/>
                    <w:ind w:firstLine="0" w:firstLineChars="0"/>
                    <w:jc w:val="center"/>
                    <w:textAlignment w:val="center"/>
                    <w:rPr>
                      <w:sz w:val="21"/>
                      <w:szCs w:val="21"/>
                    </w:rPr>
                  </w:pPr>
                  <w:r>
                    <w:rPr>
                      <w:rFonts w:hint="eastAsia"/>
                      <w:sz w:val="21"/>
                      <w:szCs w:val="21"/>
                    </w:rPr>
                    <w:t>颗粒物</w:t>
                  </w:r>
                </w:p>
              </w:tc>
              <w:tc>
                <w:tcPr>
                  <w:tcW w:w="299" w:type="pct"/>
                  <w:tcBorders>
                    <w:tl2br w:val="nil"/>
                    <w:tr2bl w:val="nil"/>
                  </w:tcBorders>
                  <w:vAlign w:val="center"/>
                </w:tcPr>
                <w:p w14:paraId="241566B0">
                  <w:pPr>
                    <w:widowControl/>
                    <w:snapToGrid w:val="0"/>
                    <w:spacing w:line="240" w:lineRule="auto"/>
                    <w:ind w:firstLine="0" w:firstLineChars="0"/>
                    <w:jc w:val="center"/>
                    <w:textAlignment w:val="center"/>
                    <w:rPr>
                      <w:sz w:val="21"/>
                      <w:szCs w:val="21"/>
                    </w:rPr>
                  </w:pPr>
                  <w:r>
                    <w:rPr>
                      <w:rFonts w:hint="eastAsia"/>
                      <w:sz w:val="21"/>
                      <w:szCs w:val="21"/>
                    </w:rPr>
                    <w:t>有组织</w:t>
                  </w:r>
                </w:p>
              </w:tc>
              <w:tc>
                <w:tcPr>
                  <w:tcW w:w="533" w:type="pct"/>
                  <w:tcBorders>
                    <w:tl2br w:val="nil"/>
                    <w:tr2bl w:val="nil"/>
                  </w:tcBorders>
                  <w:vAlign w:val="center"/>
                </w:tcPr>
                <w:p w14:paraId="12FFF7A3">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0.002</w:t>
                  </w:r>
                </w:p>
              </w:tc>
              <w:tc>
                <w:tcPr>
                  <w:tcW w:w="791" w:type="pct"/>
                  <w:tcBorders>
                    <w:tl2br w:val="nil"/>
                    <w:tr2bl w:val="nil"/>
                  </w:tcBorders>
                  <w:vAlign w:val="center"/>
                </w:tcPr>
                <w:p w14:paraId="42C5E19C">
                  <w:pPr>
                    <w:widowControl/>
                    <w:snapToGrid w:val="0"/>
                    <w:spacing w:line="240" w:lineRule="auto"/>
                    <w:ind w:firstLine="0" w:firstLineChars="0"/>
                    <w:jc w:val="center"/>
                    <w:textAlignment w:val="center"/>
                    <w:rPr>
                      <w:sz w:val="21"/>
                      <w:szCs w:val="21"/>
                    </w:rPr>
                  </w:pPr>
                  <w:r>
                    <w:rPr>
                      <w:rFonts w:hint="eastAsia"/>
                      <w:sz w:val="21"/>
                      <w:szCs w:val="21"/>
                      <w:lang w:val="en-US" w:eastAsia="zh-CN"/>
                    </w:rPr>
                    <w:t>集气罩+布袋</w:t>
                  </w:r>
                  <w:r>
                    <w:rPr>
                      <w:rFonts w:hint="eastAsia"/>
                      <w:sz w:val="21"/>
                      <w:szCs w:val="21"/>
                    </w:rPr>
                    <w:t>除尘器</w:t>
                  </w:r>
                  <w:r>
                    <w:rPr>
                      <w:sz w:val="21"/>
                      <w:szCs w:val="21"/>
                    </w:rPr>
                    <w:t>+</w:t>
                  </w:r>
                  <w:r>
                    <w:rPr>
                      <w:rFonts w:hint="eastAsia"/>
                      <w:sz w:val="21"/>
                      <w:szCs w:val="21"/>
                    </w:rPr>
                    <w:t>15m高排气筒（DA00</w:t>
                  </w:r>
                  <w:r>
                    <w:rPr>
                      <w:rFonts w:hint="eastAsia"/>
                      <w:sz w:val="21"/>
                      <w:szCs w:val="21"/>
                      <w:lang w:val="en-US" w:eastAsia="zh-CN"/>
                    </w:rPr>
                    <w:t>1</w:t>
                  </w:r>
                  <w:r>
                    <w:rPr>
                      <w:rFonts w:hint="eastAsia"/>
                      <w:sz w:val="21"/>
                      <w:szCs w:val="21"/>
                    </w:rPr>
                    <w:t>）</w:t>
                  </w:r>
                </w:p>
              </w:tc>
              <w:tc>
                <w:tcPr>
                  <w:tcW w:w="379" w:type="pct"/>
                  <w:tcBorders>
                    <w:tl2br w:val="nil"/>
                    <w:tr2bl w:val="nil"/>
                  </w:tcBorders>
                  <w:vAlign w:val="center"/>
                </w:tcPr>
                <w:p w14:paraId="6AA75B71">
                  <w:pPr>
                    <w:widowControl/>
                    <w:snapToGrid w:val="0"/>
                    <w:spacing w:line="240" w:lineRule="auto"/>
                    <w:ind w:firstLine="0" w:firstLineChars="0"/>
                    <w:jc w:val="center"/>
                    <w:textAlignment w:val="center"/>
                    <w:rPr>
                      <w:sz w:val="21"/>
                      <w:szCs w:val="21"/>
                    </w:rPr>
                  </w:pPr>
                  <w:r>
                    <w:rPr>
                      <w:rFonts w:hint="eastAsia"/>
                      <w:sz w:val="21"/>
                      <w:szCs w:val="21"/>
                      <w:lang w:val="en-US" w:eastAsia="zh-CN"/>
                    </w:rPr>
                    <w:t>90</w:t>
                  </w:r>
                  <w:r>
                    <w:rPr>
                      <w:sz w:val="21"/>
                      <w:szCs w:val="21"/>
                    </w:rPr>
                    <w:t>%</w:t>
                  </w:r>
                </w:p>
              </w:tc>
              <w:tc>
                <w:tcPr>
                  <w:tcW w:w="457" w:type="pct"/>
                  <w:tcBorders>
                    <w:tl2br w:val="nil"/>
                    <w:tr2bl w:val="nil"/>
                  </w:tcBorders>
                  <w:vAlign w:val="center"/>
                </w:tcPr>
                <w:p w14:paraId="7BADE81E">
                  <w:pPr>
                    <w:widowControl/>
                    <w:snapToGrid w:val="0"/>
                    <w:spacing w:line="240" w:lineRule="auto"/>
                    <w:ind w:firstLine="0" w:firstLineChars="0"/>
                    <w:jc w:val="center"/>
                    <w:textAlignment w:val="center"/>
                    <w:rPr>
                      <w:sz w:val="21"/>
                      <w:szCs w:val="21"/>
                    </w:rPr>
                  </w:pPr>
                  <w:r>
                    <w:rPr>
                      <w:sz w:val="21"/>
                      <w:szCs w:val="21"/>
                    </w:rPr>
                    <w:t>99%</w:t>
                  </w:r>
                </w:p>
              </w:tc>
              <w:tc>
                <w:tcPr>
                  <w:tcW w:w="683" w:type="pct"/>
                  <w:tcBorders>
                    <w:tl2br w:val="nil"/>
                    <w:tr2bl w:val="nil"/>
                  </w:tcBorders>
                  <w:vAlign w:val="center"/>
                </w:tcPr>
                <w:p w14:paraId="00696A23">
                  <w:pPr>
                    <w:widowControl/>
                    <w:snapToGrid w:val="0"/>
                    <w:spacing w:line="240" w:lineRule="auto"/>
                    <w:ind w:firstLine="0" w:firstLineChars="0"/>
                    <w:jc w:val="center"/>
                    <w:textAlignment w:val="center"/>
                    <w:rPr>
                      <w:rFonts w:hint="eastAsia"/>
                      <w:sz w:val="21"/>
                      <w:szCs w:val="21"/>
                      <w:lang w:eastAsia="zh-CN"/>
                    </w:rPr>
                  </w:pPr>
                  <w:r>
                    <w:rPr>
                      <w:rFonts w:hint="eastAsia"/>
                      <w:sz w:val="21"/>
                      <w:szCs w:val="21"/>
                      <w:lang w:val="en-US" w:eastAsia="zh-CN"/>
                    </w:rPr>
                    <w:t>1.8</w:t>
                  </w:r>
                  <w:r>
                    <w:rPr>
                      <w:rFonts w:hint="default"/>
                      <w:sz w:val="21"/>
                      <w:szCs w:val="21"/>
                      <w:lang w:val="en-US" w:eastAsia="zh-CN"/>
                    </w:rPr>
                    <w:t>×</w:t>
                  </w:r>
                  <w:r>
                    <w:rPr>
                      <w:rFonts w:hint="eastAsia"/>
                      <w:sz w:val="21"/>
                      <w:szCs w:val="21"/>
                      <w:lang w:val="en-US" w:eastAsia="zh-CN"/>
                    </w:rPr>
                    <w:t>10-5</w:t>
                  </w:r>
                  <w:r>
                    <w:rPr>
                      <w:rFonts w:hint="default"/>
                      <w:sz w:val="21"/>
                      <w:szCs w:val="21"/>
                      <w:lang w:val="en-US" w:eastAsia="zh-CN"/>
                    </w:rPr>
                    <w:t>t/a</w:t>
                  </w:r>
                </w:p>
              </w:tc>
              <w:tc>
                <w:tcPr>
                  <w:tcW w:w="708" w:type="pct"/>
                  <w:tcBorders>
                    <w:tl2br w:val="nil"/>
                    <w:tr2bl w:val="nil"/>
                  </w:tcBorders>
                  <w:vAlign w:val="center"/>
                </w:tcPr>
                <w:p w14:paraId="1FAC4C49">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0.008</w:t>
                  </w:r>
                </w:p>
              </w:tc>
            </w:tr>
            <w:tr w14:paraId="33DBD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265" w:type="pct"/>
                  <w:vMerge w:val="continue"/>
                  <w:tcBorders>
                    <w:tl2br w:val="nil"/>
                    <w:tr2bl w:val="nil"/>
                  </w:tcBorders>
                  <w:vAlign w:val="center"/>
                </w:tcPr>
                <w:p w14:paraId="6DB44691">
                  <w:pPr>
                    <w:widowControl/>
                    <w:snapToGrid w:val="0"/>
                    <w:spacing w:line="240" w:lineRule="auto"/>
                    <w:ind w:firstLine="0" w:firstLineChars="0"/>
                    <w:jc w:val="center"/>
                    <w:textAlignment w:val="center"/>
                    <w:rPr>
                      <w:sz w:val="21"/>
                      <w:szCs w:val="21"/>
                    </w:rPr>
                  </w:pPr>
                </w:p>
              </w:tc>
              <w:tc>
                <w:tcPr>
                  <w:tcW w:w="479" w:type="pct"/>
                  <w:tcBorders>
                    <w:tl2br w:val="nil"/>
                    <w:tr2bl w:val="nil"/>
                  </w:tcBorders>
                  <w:vAlign w:val="center"/>
                </w:tcPr>
                <w:p w14:paraId="78864738">
                  <w:pPr>
                    <w:widowControl/>
                    <w:snapToGrid w:val="0"/>
                    <w:spacing w:line="240" w:lineRule="auto"/>
                    <w:ind w:firstLine="0" w:firstLineChars="0"/>
                    <w:jc w:val="center"/>
                    <w:textAlignment w:val="center"/>
                    <w:rPr>
                      <w:sz w:val="21"/>
                      <w:szCs w:val="21"/>
                    </w:rPr>
                  </w:pPr>
                  <w:r>
                    <w:rPr>
                      <w:rFonts w:hint="eastAsia"/>
                      <w:sz w:val="21"/>
                      <w:szCs w:val="21"/>
                      <w:lang w:val="en-US" w:eastAsia="zh-CN"/>
                    </w:rPr>
                    <w:t>不合格品破碎</w:t>
                  </w:r>
                </w:p>
              </w:tc>
              <w:tc>
                <w:tcPr>
                  <w:tcW w:w="400" w:type="pct"/>
                  <w:tcBorders>
                    <w:tl2br w:val="nil"/>
                    <w:tr2bl w:val="nil"/>
                  </w:tcBorders>
                  <w:vAlign w:val="center"/>
                </w:tcPr>
                <w:p w14:paraId="1F7F5B55">
                  <w:pPr>
                    <w:widowControl/>
                    <w:snapToGrid w:val="0"/>
                    <w:spacing w:line="240" w:lineRule="auto"/>
                    <w:ind w:firstLine="0" w:firstLineChars="0"/>
                    <w:jc w:val="center"/>
                    <w:textAlignment w:val="center"/>
                    <w:rPr>
                      <w:sz w:val="21"/>
                      <w:szCs w:val="21"/>
                    </w:rPr>
                  </w:pPr>
                  <w:r>
                    <w:rPr>
                      <w:rFonts w:hint="eastAsia"/>
                      <w:sz w:val="21"/>
                      <w:szCs w:val="21"/>
                    </w:rPr>
                    <w:t>颗粒物</w:t>
                  </w:r>
                </w:p>
              </w:tc>
              <w:tc>
                <w:tcPr>
                  <w:tcW w:w="299" w:type="pct"/>
                  <w:tcBorders>
                    <w:tl2br w:val="nil"/>
                    <w:tr2bl w:val="nil"/>
                  </w:tcBorders>
                  <w:vAlign w:val="center"/>
                </w:tcPr>
                <w:p w14:paraId="33FF52F3">
                  <w:pPr>
                    <w:widowControl/>
                    <w:snapToGrid w:val="0"/>
                    <w:spacing w:line="240" w:lineRule="auto"/>
                    <w:ind w:firstLine="0" w:firstLineChars="0"/>
                    <w:jc w:val="center"/>
                    <w:textAlignment w:val="center"/>
                    <w:rPr>
                      <w:sz w:val="21"/>
                      <w:szCs w:val="21"/>
                    </w:rPr>
                  </w:pPr>
                  <w:r>
                    <w:rPr>
                      <w:rFonts w:hint="eastAsia"/>
                      <w:sz w:val="21"/>
                      <w:szCs w:val="21"/>
                    </w:rPr>
                    <w:t>无组织</w:t>
                  </w:r>
                </w:p>
              </w:tc>
              <w:tc>
                <w:tcPr>
                  <w:tcW w:w="533" w:type="pct"/>
                  <w:tcBorders>
                    <w:tl2br w:val="nil"/>
                    <w:tr2bl w:val="nil"/>
                  </w:tcBorders>
                  <w:vAlign w:val="center"/>
                </w:tcPr>
                <w:p w14:paraId="18190C38">
                  <w:pPr>
                    <w:widowControl/>
                    <w:snapToGrid w:val="0"/>
                    <w:spacing w:line="240" w:lineRule="auto"/>
                    <w:ind w:firstLine="0" w:firstLineChars="0"/>
                    <w:jc w:val="center"/>
                    <w:textAlignment w:val="center"/>
                    <w:rPr>
                      <w:sz w:val="21"/>
                      <w:szCs w:val="21"/>
                    </w:rPr>
                  </w:pPr>
                  <w:r>
                    <w:rPr>
                      <w:rFonts w:hint="eastAsia"/>
                      <w:sz w:val="21"/>
                      <w:szCs w:val="21"/>
                    </w:rPr>
                    <w:t>/</w:t>
                  </w:r>
                </w:p>
              </w:tc>
              <w:tc>
                <w:tcPr>
                  <w:tcW w:w="791" w:type="pct"/>
                  <w:tcBorders>
                    <w:tl2br w:val="nil"/>
                    <w:tr2bl w:val="nil"/>
                  </w:tcBorders>
                  <w:vAlign w:val="center"/>
                </w:tcPr>
                <w:p w14:paraId="7ACF0351">
                  <w:pPr>
                    <w:widowControl/>
                    <w:snapToGrid w:val="0"/>
                    <w:spacing w:line="240" w:lineRule="auto"/>
                    <w:ind w:firstLine="0" w:firstLineChars="0"/>
                    <w:jc w:val="center"/>
                    <w:textAlignment w:val="center"/>
                    <w:rPr>
                      <w:sz w:val="21"/>
                      <w:szCs w:val="21"/>
                    </w:rPr>
                  </w:pPr>
                  <w:r>
                    <w:rPr>
                      <w:rFonts w:hint="eastAsia"/>
                      <w:sz w:val="21"/>
                      <w:szCs w:val="21"/>
                    </w:rPr>
                    <w:t>/</w:t>
                  </w:r>
                </w:p>
              </w:tc>
              <w:tc>
                <w:tcPr>
                  <w:tcW w:w="379" w:type="pct"/>
                  <w:tcBorders>
                    <w:tl2br w:val="nil"/>
                    <w:tr2bl w:val="nil"/>
                  </w:tcBorders>
                  <w:vAlign w:val="center"/>
                </w:tcPr>
                <w:p w14:paraId="79D8A0C0">
                  <w:pPr>
                    <w:widowControl/>
                    <w:snapToGrid w:val="0"/>
                    <w:spacing w:line="240" w:lineRule="auto"/>
                    <w:ind w:firstLine="0" w:firstLineChars="0"/>
                    <w:jc w:val="center"/>
                    <w:textAlignment w:val="center"/>
                    <w:rPr>
                      <w:sz w:val="21"/>
                      <w:szCs w:val="21"/>
                    </w:rPr>
                  </w:pPr>
                  <w:r>
                    <w:rPr>
                      <w:rFonts w:hint="eastAsia"/>
                      <w:sz w:val="21"/>
                      <w:szCs w:val="21"/>
                    </w:rPr>
                    <w:t>/</w:t>
                  </w:r>
                </w:p>
              </w:tc>
              <w:tc>
                <w:tcPr>
                  <w:tcW w:w="457" w:type="pct"/>
                  <w:tcBorders>
                    <w:tl2br w:val="nil"/>
                    <w:tr2bl w:val="nil"/>
                  </w:tcBorders>
                  <w:vAlign w:val="center"/>
                </w:tcPr>
                <w:p w14:paraId="18817457">
                  <w:pPr>
                    <w:widowControl/>
                    <w:snapToGrid w:val="0"/>
                    <w:spacing w:line="240" w:lineRule="auto"/>
                    <w:ind w:firstLine="0" w:firstLineChars="0"/>
                    <w:jc w:val="center"/>
                    <w:textAlignment w:val="center"/>
                    <w:rPr>
                      <w:sz w:val="21"/>
                      <w:szCs w:val="21"/>
                    </w:rPr>
                  </w:pPr>
                  <w:r>
                    <w:rPr>
                      <w:rFonts w:hint="eastAsia"/>
                      <w:sz w:val="21"/>
                      <w:szCs w:val="21"/>
                    </w:rPr>
                    <w:t>/</w:t>
                  </w:r>
                </w:p>
              </w:tc>
              <w:tc>
                <w:tcPr>
                  <w:tcW w:w="683" w:type="pct"/>
                  <w:tcBorders>
                    <w:tl2br w:val="nil"/>
                    <w:tr2bl w:val="nil"/>
                  </w:tcBorders>
                  <w:vAlign w:val="center"/>
                </w:tcPr>
                <w:p w14:paraId="68FCD900">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0.00004</w:t>
                  </w:r>
                </w:p>
              </w:tc>
              <w:tc>
                <w:tcPr>
                  <w:tcW w:w="708" w:type="pct"/>
                  <w:tcBorders>
                    <w:tl2br w:val="nil"/>
                    <w:tr2bl w:val="nil"/>
                  </w:tcBorders>
                  <w:vAlign w:val="center"/>
                </w:tcPr>
                <w:p w14:paraId="64A7AECC">
                  <w:pPr>
                    <w:widowControl/>
                    <w:snapToGrid w:val="0"/>
                    <w:spacing w:line="240" w:lineRule="auto"/>
                    <w:ind w:firstLine="0" w:firstLineChars="0"/>
                    <w:jc w:val="center"/>
                    <w:textAlignment w:val="center"/>
                    <w:rPr>
                      <w:sz w:val="21"/>
                      <w:szCs w:val="21"/>
                    </w:rPr>
                  </w:pPr>
                  <w:r>
                    <w:rPr>
                      <w:rFonts w:hint="eastAsia"/>
                      <w:sz w:val="21"/>
                      <w:szCs w:val="21"/>
                    </w:rPr>
                    <w:t>/</w:t>
                  </w:r>
                </w:p>
              </w:tc>
            </w:tr>
          </w:tbl>
          <w:p w14:paraId="60D978C6">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textAlignment w:val="auto"/>
              <w:rPr>
                <w:sz w:val="21"/>
                <w:szCs w:val="21"/>
              </w:rPr>
            </w:pPr>
            <w:r>
              <w:rPr>
                <w:rFonts w:hint="eastAsia"/>
                <w:sz w:val="21"/>
                <w:szCs w:val="21"/>
              </w:rPr>
              <w:t>本项有组织排放口基本情况详见下表</w:t>
            </w:r>
          </w:p>
          <w:p w14:paraId="46EDF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21"/>
                <w:szCs w:val="21"/>
                <w:lang w:val="zh-CN" w:eastAsia="zh-CN"/>
              </w:rPr>
            </w:pPr>
            <w:r>
              <w:rPr>
                <w:rFonts w:hint="eastAsia" w:ascii="黑体" w:hAnsi="黑体" w:eastAsia="黑体" w:cs="黑体"/>
                <w:sz w:val="21"/>
                <w:szCs w:val="21"/>
                <w:lang w:val="zh-CN" w:eastAsia="zh-CN"/>
              </w:rPr>
              <w:t>表</w:t>
            </w:r>
            <w:r>
              <w:rPr>
                <w:rFonts w:hint="eastAsia" w:ascii="黑体" w:hAnsi="黑体" w:eastAsia="黑体" w:cs="黑体"/>
                <w:sz w:val="21"/>
                <w:szCs w:val="21"/>
                <w:lang w:val="en-US" w:eastAsia="zh-CN"/>
              </w:rPr>
              <w:t>4-2</w:t>
            </w:r>
            <w:r>
              <w:rPr>
                <w:rFonts w:hint="eastAsia" w:ascii="黑体" w:hAnsi="黑体" w:eastAsia="黑体" w:cs="黑体"/>
                <w:sz w:val="21"/>
                <w:szCs w:val="21"/>
                <w:lang w:val="zh-CN" w:eastAsia="zh-CN"/>
              </w:rPr>
              <w:t xml:space="preserve">   排放口参数表</w:t>
            </w:r>
          </w:p>
          <w:tbl>
            <w:tblPr>
              <w:tblStyle w:val="30"/>
              <w:tblW w:w="499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3"/>
              <w:gridCol w:w="749"/>
              <w:gridCol w:w="449"/>
              <w:gridCol w:w="891"/>
              <w:gridCol w:w="891"/>
              <w:gridCol w:w="457"/>
              <w:gridCol w:w="635"/>
              <w:gridCol w:w="600"/>
              <w:gridCol w:w="600"/>
              <w:gridCol w:w="740"/>
              <w:gridCol w:w="652"/>
              <w:gridCol w:w="541"/>
              <w:gridCol w:w="226"/>
              <w:gridCol w:w="818"/>
            </w:tblGrid>
            <w:tr w14:paraId="64CAB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122" w:type="pct"/>
                  <w:vMerge w:val="restart"/>
                  <w:tcBorders>
                    <w:tl2br w:val="nil"/>
                    <w:tr2bl w:val="nil"/>
                  </w:tcBorders>
                  <w:vAlign w:val="center"/>
                </w:tcPr>
                <w:p w14:paraId="57441DBB">
                  <w:pPr>
                    <w:snapToGrid w:val="0"/>
                    <w:spacing w:line="240" w:lineRule="auto"/>
                    <w:ind w:firstLine="0" w:firstLineChars="0"/>
                    <w:jc w:val="center"/>
                    <w:rPr>
                      <w:sz w:val="21"/>
                      <w:szCs w:val="21"/>
                    </w:rPr>
                  </w:pPr>
                  <w:r>
                    <w:rPr>
                      <w:sz w:val="21"/>
                      <w:szCs w:val="21"/>
                    </w:rPr>
                    <w:t>序号</w:t>
                  </w:r>
                </w:p>
              </w:tc>
              <w:tc>
                <w:tcPr>
                  <w:tcW w:w="523" w:type="pct"/>
                  <w:vMerge w:val="restart"/>
                  <w:tcBorders>
                    <w:tl2br w:val="nil"/>
                    <w:tr2bl w:val="nil"/>
                  </w:tcBorders>
                  <w:vAlign w:val="center"/>
                </w:tcPr>
                <w:p w14:paraId="3BB91AE5">
                  <w:pPr>
                    <w:snapToGrid w:val="0"/>
                    <w:spacing w:line="240" w:lineRule="auto"/>
                    <w:ind w:firstLine="0" w:firstLineChars="0"/>
                    <w:jc w:val="center"/>
                    <w:rPr>
                      <w:sz w:val="21"/>
                      <w:szCs w:val="21"/>
                    </w:rPr>
                  </w:pPr>
                  <w:r>
                    <w:rPr>
                      <w:sz w:val="21"/>
                      <w:szCs w:val="21"/>
                    </w:rPr>
                    <w:t>污染物源</w:t>
                  </w:r>
                </w:p>
              </w:tc>
              <w:tc>
                <w:tcPr>
                  <w:tcW w:w="346" w:type="pct"/>
                  <w:vMerge w:val="restart"/>
                  <w:tcBorders>
                    <w:tl2br w:val="nil"/>
                    <w:tr2bl w:val="nil"/>
                  </w:tcBorders>
                  <w:vAlign w:val="center"/>
                </w:tcPr>
                <w:p w14:paraId="61E9B544">
                  <w:pPr>
                    <w:snapToGrid w:val="0"/>
                    <w:spacing w:line="240" w:lineRule="auto"/>
                    <w:ind w:firstLine="0" w:firstLineChars="0"/>
                    <w:jc w:val="center"/>
                    <w:rPr>
                      <w:sz w:val="21"/>
                      <w:szCs w:val="21"/>
                    </w:rPr>
                  </w:pPr>
                  <w:r>
                    <w:rPr>
                      <w:sz w:val="21"/>
                      <w:szCs w:val="21"/>
                    </w:rPr>
                    <w:t>污染物名称</w:t>
                  </w:r>
                </w:p>
              </w:tc>
              <w:tc>
                <w:tcPr>
                  <w:tcW w:w="728" w:type="pct"/>
                  <w:gridSpan w:val="2"/>
                  <w:tcBorders>
                    <w:tl2br w:val="nil"/>
                    <w:tr2bl w:val="nil"/>
                  </w:tcBorders>
                  <w:vAlign w:val="center"/>
                </w:tcPr>
                <w:p w14:paraId="5034BBAA">
                  <w:pPr>
                    <w:snapToGrid w:val="0"/>
                    <w:spacing w:line="240" w:lineRule="auto"/>
                    <w:ind w:firstLine="0" w:firstLineChars="0"/>
                    <w:jc w:val="center"/>
                    <w:rPr>
                      <w:sz w:val="21"/>
                      <w:szCs w:val="21"/>
                    </w:rPr>
                  </w:pPr>
                  <w:r>
                    <w:rPr>
                      <w:rFonts w:hint="eastAsia"/>
                      <w:sz w:val="21"/>
                      <w:szCs w:val="21"/>
                    </w:rPr>
                    <w:t>排气筒底部</w:t>
                  </w:r>
                </w:p>
                <w:p w14:paraId="684CB552">
                  <w:pPr>
                    <w:snapToGrid w:val="0"/>
                    <w:spacing w:line="240" w:lineRule="auto"/>
                    <w:ind w:firstLine="0" w:firstLineChars="0"/>
                    <w:jc w:val="center"/>
                    <w:rPr>
                      <w:sz w:val="21"/>
                      <w:szCs w:val="21"/>
                    </w:rPr>
                  </w:pPr>
                  <w:r>
                    <w:rPr>
                      <w:rFonts w:hint="eastAsia"/>
                      <w:sz w:val="21"/>
                      <w:szCs w:val="21"/>
                    </w:rPr>
                    <w:t>中心坐标/m</w:t>
                  </w:r>
                </w:p>
              </w:tc>
              <w:tc>
                <w:tcPr>
                  <w:tcW w:w="351" w:type="pct"/>
                  <w:vMerge w:val="restart"/>
                  <w:tcBorders>
                    <w:tl2br w:val="nil"/>
                    <w:tr2bl w:val="nil"/>
                  </w:tcBorders>
                  <w:vAlign w:val="center"/>
                </w:tcPr>
                <w:p w14:paraId="6617B7C0">
                  <w:pPr>
                    <w:snapToGrid w:val="0"/>
                    <w:spacing w:line="240" w:lineRule="auto"/>
                    <w:ind w:firstLine="0" w:firstLineChars="0"/>
                    <w:jc w:val="center"/>
                    <w:rPr>
                      <w:sz w:val="21"/>
                      <w:szCs w:val="21"/>
                    </w:rPr>
                  </w:pPr>
                  <w:r>
                    <w:rPr>
                      <w:rFonts w:hint="eastAsia"/>
                      <w:sz w:val="21"/>
                      <w:szCs w:val="21"/>
                    </w:rPr>
                    <w:t>排气筒底部海拔/m</w:t>
                  </w:r>
                </w:p>
              </w:tc>
              <w:tc>
                <w:tcPr>
                  <w:tcW w:w="375" w:type="pct"/>
                  <w:vMerge w:val="restart"/>
                  <w:tcBorders>
                    <w:tl2br w:val="nil"/>
                    <w:tr2bl w:val="nil"/>
                  </w:tcBorders>
                  <w:vAlign w:val="center"/>
                </w:tcPr>
                <w:p w14:paraId="19F536D7">
                  <w:pPr>
                    <w:snapToGrid w:val="0"/>
                    <w:spacing w:line="240" w:lineRule="auto"/>
                    <w:ind w:firstLine="0" w:firstLineChars="0"/>
                    <w:jc w:val="center"/>
                    <w:rPr>
                      <w:sz w:val="21"/>
                      <w:szCs w:val="21"/>
                    </w:rPr>
                  </w:pPr>
                  <w:r>
                    <w:rPr>
                      <w:sz w:val="21"/>
                      <w:szCs w:val="21"/>
                    </w:rPr>
                    <w:t>排气筒编号</w:t>
                  </w:r>
                </w:p>
              </w:tc>
              <w:tc>
                <w:tcPr>
                  <w:tcW w:w="323" w:type="pct"/>
                  <w:vMerge w:val="restart"/>
                  <w:tcBorders>
                    <w:tl2br w:val="nil"/>
                    <w:tr2bl w:val="nil"/>
                  </w:tcBorders>
                  <w:vAlign w:val="center"/>
                </w:tcPr>
                <w:p w14:paraId="6552AFF1">
                  <w:pPr>
                    <w:snapToGrid w:val="0"/>
                    <w:spacing w:line="240" w:lineRule="auto"/>
                    <w:ind w:firstLine="0" w:firstLineChars="0"/>
                    <w:jc w:val="center"/>
                    <w:rPr>
                      <w:sz w:val="21"/>
                      <w:szCs w:val="21"/>
                    </w:rPr>
                  </w:pPr>
                  <w:r>
                    <w:rPr>
                      <w:sz w:val="21"/>
                      <w:szCs w:val="21"/>
                    </w:rPr>
                    <w:t>高度</w:t>
                  </w:r>
                  <w:r>
                    <w:rPr>
                      <w:rFonts w:hint="eastAsia"/>
                      <w:sz w:val="21"/>
                      <w:szCs w:val="21"/>
                    </w:rPr>
                    <w:t>（</w:t>
                  </w:r>
                  <w:r>
                    <w:rPr>
                      <w:sz w:val="21"/>
                      <w:szCs w:val="21"/>
                    </w:rPr>
                    <w:t>m</w:t>
                  </w:r>
                  <w:r>
                    <w:rPr>
                      <w:rFonts w:hint="eastAsia"/>
                      <w:sz w:val="21"/>
                      <w:szCs w:val="21"/>
                    </w:rPr>
                    <w:t>）</w:t>
                  </w:r>
                </w:p>
              </w:tc>
              <w:tc>
                <w:tcPr>
                  <w:tcW w:w="323" w:type="pct"/>
                  <w:vMerge w:val="restart"/>
                  <w:tcBorders>
                    <w:tl2br w:val="nil"/>
                    <w:tr2bl w:val="nil"/>
                  </w:tcBorders>
                  <w:vAlign w:val="center"/>
                </w:tcPr>
                <w:p w14:paraId="6C61CE3A">
                  <w:pPr>
                    <w:snapToGrid w:val="0"/>
                    <w:spacing w:line="240" w:lineRule="auto"/>
                    <w:ind w:firstLine="0" w:firstLineChars="0"/>
                    <w:jc w:val="center"/>
                    <w:rPr>
                      <w:sz w:val="21"/>
                      <w:szCs w:val="21"/>
                    </w:rPr>
                  </w:pPr>
                  <w:r>
                    <w:rPr>
                      <w:sz w:val="21"/>
                      <w:szCs w:val="21"/>
                    </w:rPr>
                    <w:t>排气筒内径</w:t>
                  </w:r>
                  <w:r>
                    <w:rPr>
                      <w:rFonts w:hint="eastAsia"/>
                      <w:sz w:val="21"/>
                      <w:szCs w:val="21"/>
                    </w:rPr>
                    <w:t>（</w:t>
                  </w:r>
                  <w:r>
                    <w:rPr>
                      <w:sz w:val="21"/>
                      <w:szCs w:val="21"/>
                    </w:rPr>
                    <w:t>m</w:t>
                  </w:r>
                  <w:r>
                    <w:rPr>
                      <w:rFonts w:hint="eastAsia"/>
                      <w:sz w:val="21"/>
                      <w:szCs w:val="21"/>
                    </w:rPr>
                    <w:t>）</w:t>
                  </w:r>
                </w:p>
              </w:tc>
              <w:tc>
                <w:tcPr>
                  <w:tcW w:w="398" w:type="pct"/>
                  <w:vMerge w:val="restart"/>
                  <w:tcBorders>
                    <w:tl2br w:val="nil"/>
                    <w:tr2bl w:val="nil"/>
                  </w:tcBorders>
                  <w:vAlign w:val="center"/>
                </w:tcPr>
                <w:p w14:paraId="30ABBCE5">
                  <w:pPr>
                    <w:snapToGrid w:val="0"/>
                    <w:spacing w:line="240" w:lineRule="auto"/>
                    <w:ind w:firstLine="0" w:firstLineChars="0"/>
                    <w:jc w:val="center"/>
                    <w:rPr>
                      <w:sz w:val="21"/>
                      <w:szCs w:val="21"/>
                    </w:rPr>
                  </w:pPr>
                  <w:r>
                    <w:rPr>
                      <w:sz w:val="21"/>
                      <w:szCs w:val="21"/>
                    </w:rPr>
                    <w:t>烟气流速</w:t>
                  </w:r>
                </w:p>
                <w:p w14:paraId="0DBF7025">
                  <w:pPr>
                    <w:snapToGrid w:val="0"/>
                    <w:spacing w:line="240" w:lineRule="auto"/>
                    <w:ind w:firstLine="0" w:firstLineChars="0"/>
                    <w:jc w:val="center"/>
                    <w:rPr>
                      <w:sz w:val="21"/>
                      <w:szCs w:val="21"/>
                    </w:rPr>
                  </w:pPr>
                  <w:r>
                    <w:rPr>
                      <w:rFonts w:hint="eastAsia"/>
                      <w:sz w:val="21"/>
                      <w:szCs w:val="21"/>
                    </w:rPr>
                    <w:t>（</w:t>
                  </w:r>
                  <w:r>
                    <w:rPr>
                      <w:sz w:val="21"/>
                      <w:szCs w:val="21"/>
                    </w:rPr>
                    <w:t>m/s</w:t>
                  </w:r>
                  <w:r>
                    <w:rPr>
                      <w:rFonts w:hint="eastAsia"/>
                      <w:sz w:val="21"/>
                      <w:szCs w:val="21"/>
                    </w:rPr>
                    <w:t>）</w:t>
                  </w:r>
                </w:p>
              </w:tc>
              <w:tc>
                <w:tcPr>
                  <w:tcW w:w="349" w:type="pct"/>
                  <w:vMerge w:val="restart"/>
                  <w:tcBorders>
                    <w:tl2br w:val="nil"/>
                    <w:tr2bl w:val="nil"/>
                  </w:tcBorders>
                  <w:vAlign w:val="center"/>
                </w:tcPr>
                <w:p w14:paraId="714F12E1">
                  <w:pPr>
                    <w:snapToGrid w:val="0"/>
                    <w:spacing w:line="240" w:lineRule="auto"/>
                    <w:ind w:firstLine="0" w:firstLineChars="0"/>
                    <w:jc w:val="center"/>
                    <w:rPr>
                      <w:sz w:val="21"/>
                      <w:szCs w:val="21"/>
                    </w:rPr>
                  </w:pPr>
                  <w:r>
                    <w:rPr>
                      <w:sz w:val="21"/>
                      <w:szCs w:val="21"/>
                    </w:rPr>
                    <w:t>烟气出口温度</w:t>
                  </w:r>
                  <w:r>
                    <w:rPr>
                      <w:rFonts w:hint="eastAsia"/>
                      <w:sz w:val="21"/>
                      <w:szCs w:val="21"/>
                    </w:rPr>
                    <w:t>（</w:t>
                  </w:r>
                  <w:r>
                    <w:rPr>
                      <w:sz w:val="21"/>
                      <w:szCs w:val="21"/>
                    </w:rPr>
                    <w:t>℃</w:t>
                  </w:r>
                  <w:r>
                    <w:rPr>
                      <w:rFonts w:hint="eastAsia"/>
                      <w:sz w:val="21"/>
                      <w:szCs w:val="21"/>
                    </w:rPr>
                    <w:t>）</w:t>
                  </w:r>
                </w:p>
              </w:tc>
              <w:tc>
                <w:tcPr>
                  <w:tcW w:w="329" w:type="pct"/>
                  <w:vMerge w:val="restart"/>
                  <w:tcBorders>
                    <w:tl2br w:val="nil"/>
                    <w:tr2bl w:val="nil"/>
                  </w:tcBorders>
                  <w:vAlign w:val="center"/>
                </w:tcPr>
                <w:p w14:paraId="49CB071D">
                  <w:pPr>
                    <w:snapToGrid w:val="0"/>
                    <w:spacing w:line="240" w:lineRule="auto"/>
                    <w:ind w:firstLine="0" w:firstLineChars="0"/>
                    <w:jc w:val="center"/>
                    <w:rPr>
                      <w:sz w:val="21"/>
                      <w:szCs w:val="21"/>
                    </w:rPr>
                  </w:pPr>
                  <w:r>
                    <w:rPr>
                      <w:sz w:val="21"/>
                      <w:szCs w:val="21"/>
                    </w:rPr>
                    <w:t>年排放小时数</w:t>
                  </w:r>
                  <w:r>
                    <w:rPr>
                      <w:rFonts w:hint="eastAsia"/>
                      <w:sz w:val="21"/>
                      <w:szCs w:val="21"/>
                    </w:rPr>
                    <w:t>（</w:t>
                  </w:r>
                  <w:r>
                    <w:rPr>
                      <w:sz w:val="21"/>
                      <w:szCs w:val="21"/>
                    </w:rPr>
                    <w:t>h</w:t>
                  </w:r>
                  <w:r>
                    <w:rPr>
                      <w:rFonts w:hint="eastAsia"/>
                      <w:sz w:val="21"/>
                      <w:szCs w:val="21"/>
                    </w:rPr>
                    <w:t>）</w:t>
                  </w:r>
                </w:p>
              </w:tc>
              <w:tc>
                <w:tcPr>
                  <w:tcW w:w="317" w:type="pct"/>
                  <w:vMerge w:val="restart"/>
                  <w:tcBorders>
                    <w:tl2br w:val="nil"/>
                    <w:tr2bl w:val="nil"/>
                  </w:tcBorders>
                  <w:vAlign w:val="center"/>
                </w:tcPr>
                <w:p w14:paraId="01BDA38E">
                  <w:pPr>
                    <w:snapToGrid w:val="0"/>
                    <w:spacing w:line="240" w:lineRule="auto"/>
                    <w:ind w:firstLine="0" w:firstLineChars="0"/>
                    <w:jc w:val="center"/>
                    <w:rPr>
                      <w:sz w:val="21"/>
                      <w:szCs w:val="21"/>
                    </w:rPr>
                  </w:pPr>
                  <w:r>
                    <w:rPr>
                      <w:sz w:val="21"/>
                      <w:szCs w:val="21"/>
                    </w:rPr>
                    <w:t>排放工况</w:t>
                  </w:r>
                </w:p>
              </w:tc>
              <w:tc>
                <w:tcPr>
                  <w:tcW w:w="510" w:type="pct"/>
                  <w:vMerge w:val="restart"/>
                  <w:tcBorders>
                    <w:tl2br w:val="nil"/>
                    <w:tr2bl w:val="nil"/>
                  </w:tcBorders>
                  <w:vAlign w:val="center"/>
                </w:tcPr>
                <w:p w14:paraId="19A25A94">
                  <w:pPr>
                    <w:snapToGrid w:val="0"/>
                    <w:spacing w:line="240" w:lineRule="auto"/>
                    <w:ind w:firstLine="0" w:firstLineChars="0"/>
                    <w:jc w:val="center"/>
                    <w:rPr>
                      <w:sz w:val="21"/>
                      <w:szCs w:val="21"/>
                    </w:rPr>
                  </w:pPr>
                  <w:r>
                    <w:rPr>
                      <w:sz w:val="21"/>
                      <w:szCs w:val="21"/>
                    </w:rPr>
                    <w:t>污染物排放速率</w:t>
                  </w:r>
                  <w:r>
                    <w:rPr>
                      <w:rFonts w:hint="eastAsia"/>
                      <w:sz w:val="21"/>
                      <w:szCs w:val="21"/>
                    </w:rPr>
                    <w:t>（</w:t>
                  </w:r>
                  <w:r>
                    <w:rPr>
                      <w:sz w:val="21"/>
                      <w:szCs w:val="21"/>
                    </w:rPr>
                    <w:t>kg/h</w:t>
                  </w:r>
                  <w:r>
                    <w:rPr>
                      <w:rFonts w:hint="eastAsia"/>
                      <w:sz w:val="21"/>
                      <w:szCs w:val="21"/>
                    </w:rPr>
                    <w:t>）</w:t>
                  </w:r>
                </w:p>
              </w:tc>
            </w:tr>
            <w:tr w14:paraId="0EC26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1" w:hRule="atLeast"/>
                <w:jc w:val="center"/>
              </w:trPr>
              <w:tc>
                <w:tcPr>
                  <w:tcW w:w="122" w:type="pct"/>
                  <w:vMerge w:val="continue"/>
                  <w:tcBorders>
                    <w:tl2br w:val="nil"/>
                    <w:tr2bl w:val="nil"/>
                  </w:tcBorders>
                  <w:vAlign w:val="center"/>
                </w:tcPr>
                <w:p w14:paraId="76F111DB">
                  <w:pPr>
                    <w:snapToGrid w:val="0"/>
                    <w:spacing w:line="240" w:lineRule="auto"/>
                    <w:ind w:firstLine="0" w:firstLineChars="0"/>
                    <w:jc w:val="center"/>
                    <w:rPr>
                      <w:sz w:val="21"/>
                      <w:szCs w:val="21"/>
                    </w:rPr>
                  </w:pPr>
                </w:p>
              </w:tc>
              <w:tc>
                <w:tcPr>
                  <w:tcW w:w="523" w:type="pct"/>
                  <w:vMerge w:val="continue"/>
                  <w:tcBorders>
                    <w:tl2br w:val="nil"/>
                    <w:tr2bl w:val="nil"/>
                  </w:tcBorders>
                  <w:vAlign w:val="center"/>
                </w:tcPr>
                <w:p w14:paraId="2D6D5B87">
                  <w:pPr>
                    <w:snapToGrid w:val="0"/>
                    <w:spacing w:line="240" w:lineRule="auto"/>
                    <w:ind w:firstLine="0" w:firstLineChars="0"/>
                    <w:jc w:val="center"/>
                    <w:rPr>
                      <w:sz w:val="21"/>
                      <w:szCs w:val="21"/>
                    </w:rPr>
                  </w:pPr>
                </w:p>
              </w:tc>
              <w:tc>
                <w:tcPr>
                  <w:tcW w:w="346" w:type="pct"/>
                  <w:vMerge w:val="continue"/>
                  <w:tcBorders>
                    <w:tl2br w:val="nil"/>
                    <w:tr2bl w:val="nil"/>
                  </w:tcBorders>
                  <w:vAlign w:val="center"/>
                </w:tcPr>
                <w:p w14:paraId="6173AD19">
                  <w:pPr>
                    <w:snapToGrid w:val="0"/>
                    <w:spacing w:line="240" w:lineRule="auto"/>
                    <w:ind w:firstLine="0" w:firstLineChars="0"/>
                    <w:jc w:val="center"/>
                    <w:rPr>
                      <w:sz w:val="21"/>
                      <w:szCs w:val="21"/>
                    </w:rPr>
                  </w:pPr>
                </w:p>
              </w:tc>
              <w:tc>
                <w:tcPr>
                  <w:tcW w:w="375" w:type="pct"/>
                  <w:tcBorders>
                    <w:tl2br w:val="nil"/>
                    <w:tr2bl w:val="nil"/>
                  </w:tcBorders>
                  <w:vAlign w:val="center"/>
                </w:tcPr>
                <w:p w14:paraId="0C6E75F0">
                  <w:pPr>
                    <w:snapToGrid w:val="0"/>
                    <w:spacing w:line="240" w:lineRule="auto"/>
                    <w:ind w:firstLine="0" w:firstLineChars="0"/>
                    <w:jc w:val="center"/>
                    <w:rPr>
                      <w:rFonts w:hint="default"/>
                      <w:sz w:val="21"/>
                      <w:szCs w:val="21"/>
                      <w:lang w:eastAsia="zh-CN"/>
                    </w:rPr>
                  </w:pPr>
                  <w:r>
                    <w:rPr>
                      <w:rFonts w:hint="default"/>
                      <w:sz w:val="21"/>
                      <w:szCs w:val="21"/>
                      <w:lang w:val="en-US" w:eastAsia="zh-CN"/>
                    </w:rPr>
                    <w:t>经度</w:t>
                  </w:r>
                </w:p>
              </w:tc>
              <w:tc>
                <w:tcPr>
                  <w:tcW w:w="352" w:type="pct"/>
                  <w:tcBorders>
                    <w:tl2br w:val="nil"/>
                    <w:tr2bl w:val="nil"/>
                  </w:tcBorders>
                  <w:vAlign w:val="center"/>
                </w:tcPr>
                <w:p w14:paraId="11F60211">
                  <w:pPr>
                    <w:snapToGrid w:val="0"/>
                    <w:spacing w:line="240" w:lineRule="auto"/>
                    <w:ind w:firstLine="0" w:firstLineChars="0"/>
                    <w:jc w:val="center"/>
                    <w:rPr>
                      <w:rFonts w:hint="default"/>
                      <w:sz w:val="21"/>
                      <w:szCs w:val="21"/>
                      <w:lang w:eastAsia="zh-CN"/>
                    </w:rPr>
                  </w:pPr>
                  <w:r>
                    <w:rPr>
                      <w:rFonts w:hint="default"/>
                      <w:sz w:val="21"/>
                      <w:szCs w:val="21"/>
                      <w:lang w:val="en-US" w:eastAsia="zh-CN"/>
                    </w:rPr>
                    <w:t>纬度</w:t>
                  </w:r>
                </w:p>
              </w:tc>
              <w:tc>
                <w:tcPr>
                  <w:tcW w:w="351" w:type="pct"/>
                  <w:vMerge w:val="continue"/>
                  <w:tcBorders>
                    <w:tl2br w:val="nil"/>
                    <w:tr2bl w:val="nil"/>
                  </w:tcBorders>
                  <w:vAlign w:val="center"/>
                </w:tcPr>
                <w:p w14:paraId="6B9DB3A1">
                  <w:pPr>
                    <w:snapToGrid w:val="0"/>
                    <w:spacing w:line="240" w:lineRule="auto"/>
                    <w:ind w:firstLine="0" w:firstLineChars="0"/>
                    <w:jc w:val="center"/>
                    <w:rPr>
                      <w:sz w:val="21"/>
                      <w:szCs w:val="21"/>
                    </w:rPr>
                  </w:pPr>
                </w:p>
              </w:tc>
              <w:tc>
                <w:tcPr>
                  <w:tcW w:w="375" w:type="pct"/>
                  <w:vMerge w:val="continue"/>
                  <w:tcBorders>
                    <w:tl2br w:val="nil"/>
                    <w:tr2bl w:val="nil"/>
                  </w:tcBorders>
                  <w:vAlign w:val="center"/>
                </w:tcPr>
                <w:p w14:paraId="0A08E0F2">
                  <w:pPr>
                    <w:snapToGrid w:val="0"/>
                    <w:spacing w:line="240" w:lineRule="auto"/>
                    <w:ind w:firstLine="0" w:firstLineChars="0"/>
                    <w:jc w:val="center"/>
                    <w:rPr>
                      <w:sz w:val="21"/>
                      <w:szCs w:val="21"/>
                    </w:rPr>
                  </w:pPr>
                </w:p>
              </w:tc>
              <w:tc>
                <w:tcPr>
                  <w:tcW w:w="323" w:type="pct"/>
                  <w:vMerge w:val="continue"/>
                  <w:tcBorders>
                    <w:tl2br w:val="nil"/>
                    <w:tr2bl w:val="nil"/>
                  </w:tcBorders>
                  <w:vAlign w:val="center"/>
                </w:tcPr>
                <w:p w14:paraId="25D27D54">
                  <w:pPr>
                    <w:snapToGrid w:val="0"/>
                    <w:spacing w:line="240" w:lineRule="auto"/>
                    <w:ind w:firstLine="0" w:firstLineChars="0"/>
                    <w:jc w:val="center"/>
                    <w:rPr>
                      <w:sz w:val="21"/>
                      <w:szCs w:val="21"/>
                    </w:rPr>
                  </w:pPr>
                </w:p>
              </w:tc>
              <w:tc>
                <w:tcPr>
                  <w:tcW w:w="323" w:type="pct"/>
                  <w:vMerge w:val="continue"/>
                  <w:tcBorders>
                    <w:tl2br w:val="nil"/>
                    <w:tr2bl w:val="nil"/>
                  </w:tcBorders>
                  <w:vAlign w:val="center"/>
                </w:tcPr>
                <w:p w14:paraId="33532D0E">
                  <w:pPr>
                    <w:snapToGrid w:val="0"/>
                    <w:spacing w:line="240" w:lineRule="auto"/>
                    <w:ind w:firstLine="0" w:firstLineChars="0"/>
                    <w:jc w:val="center"/>
                    <w:rPr>
                      <w:sz w:val="21"/>
                      <w:szCs w:val="21"/>
                    </w:rPr>
                  </w:pPr>
                </w:p>
              </w:tc>
              <w:tc>
                <w:tcPr>
                  <w:tcW w:w="398" w:type="pct"/>
                  <w:vMerge w:val="continue"/>
                  <w:tcBorders>
                    <w:tl2br w:val="nil"/>
                    <w:tr2bl w:val="nil"/>
                  </w:tcBorders>
                  <w:vAlign w:val="center"/>
                </w:tcPr>
                <w:p w14:paraId="7F4A7858">
                  <w:pPr>
                    <w:snapToGrid w:val="0"/>
                    <w:spacing w:line="240" w:lineRule="auto"/>
                    <w:ind w:firstLine="0" w:firstLineChars="0"/>
                    <w:jc w:val="center"/>
                    <w:rPr>
                      <w:sz w:val="21"/>
                      <w:szCs w:val="21"/>
                    </w:rPr>
                  </w:pPr>
                </w:p>
              </w:tc>
              <w:tc>
                <w:tcPr>
                  <w:tcW w:w="349" w:type="pct"/>
                  <w:vMerge w:val="continue"/>
                  <w:tcBorders>
                    <w:tl2br w:val="nil"/>
                    <w:tr2bl w:val="nil"/>
                  </w:tcBorders>
                  <w:vAlign w:val="center"/>
                </w:tcPr>
                <w:p w14:paraId="0050BEE6">
                  <w:pPr>
                    <w:snapToGrid w:val="0"/>
                    <w:spacing w:line="240" w:lineRule="auto"/>
                    <w:ind w:firstLine="0" w:firstLineChars="0"/>
                    <w:jc w:val="center"/>
                    <w:rPr>
                      <w:sz w:val="21"/>
                      <w:szCs w:val="21"/>
                    </w:rPr>
                  </w:pPr>
                </w:p>
              </w:tc>
              <w:tc>
                <w:tcPr>
                  <w:tcW w:w="329" w:type="pct"/>
                  <w:vMerge w:val="continue"/>
                  <w:tcBorders>
                    <w:tl2br w:val="nil"/>
                    <w:tr2bl w:val="nil"/>
                  </w:tcBorders>
                  <w:vAlign w:val="center"/>
                </w:tcPr>
                <w:p w14:paraId="7EBE30CE">
                  <w:pPr>
                    <w:snapToGrid w:val="0"/>
                    <w:spacing w:line="240" w:lineRule="auto"/>
                    <w:ind w:firstLine="0" w:firstLineChars="0"/>
                    <w:jc w:val="center"/>
                    <w:rPr>
                      <w:sz w:val="21"/>
                      <w:szCs w:val="21"/>
                    </w:rPr>
                  </w:pPr>
                </w:p>
              </w:tc>
              <w:tc>
                <w:tcPr>
                  <w:tcW w:w="317" w:type="pct"/>
                  <w:vMerge w:val="continue"/>
                  <w:tcBorders>
                    <w:tl2br w:val="nil"/>
                    <w:tr2bl w:val="nil"/>
                  </w:tcBorders>
                  <w:vAlign w:val="center"/>
                </w:tcPr>
                <w:p w14:paraId="336F062D">
                  <w:pPr>
                    <w:snapToGrid w:val="0"/>
                    <w:spacing w:line="240" w:lineRule="auto"/>
                    <w:ind w:firstLine="0" w:firstLineChars="0"/>
                    <w:jc w:val="center"/>
                    <w:rPr>
                      <w:sz w:val="21"/>
                      <w:szCs w:val="21"/>
                    </w:rPr>
                  </w:pPr>
                </w:p>
              </w:tc>
              <w:tc>
                <w:tcPr>
                  <w:tcW w:w="510" w:type="pct"/>
                  <w:vMerge w:val="continue"/>
                  <w:tcBorders>
                    <w:tl2br w:val="nil"/>
                    <w:tr2bl w:val="nil"/>
                  </w:tcBorders>
                  <w:vAlign w:val="center"/>
                </w:tcPr>
                <w:p w14:paraId="00442081">
                  <w:pPr>
                    <w:snapToGrid w:val="0"/>
                    <w:spacing w:line="240" w:lineRule="auto"/>
                    <w:ind w:firstLine="0" w:firstLineChars="0"/>
                    <w:jc w:val="center"/>
                    <w:rPr>
                      <w:sz w:val="21"/>
                      <w:szCs w:val="21"/>
                    </w:rPr>
                  </w:pPr>
                </w:p>
              </w:tc>
            </w:tr>
            <w:tr w14:paraId="29DEB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2" w:hRule="atLeast"/>
                <w:jc w:val="center"/>
              </w:trPr>
              <w:tc>
                <w:tcPr>
                  <w:tcW w:w="122" w:type="pct"/>
                  <w:tcBorders>
                    <w:tl2br w:val="nil"/>
                    <w:tr2bl w:val="nil"/>
                  </w:tcBorders>
                  <w:vAlign w:val="center"/>
                </w:tcPr>
                <w:p w14:paraId="24C56DC0">
                  <w:pPr>
                    <w:snapToGrid w:val="0"/>
                    <w:spacing w:line="240" w:lineRule="auto"/>
                    <w:ind w:firstLine="0" w:firstLineChars="0"/>
                    <w:jc w:val="center"/>
                    <w:rPr>
                      <w:sz w:val="21"/>
                      <w:szCs w:val="21"/>
                    </w:rPr>
                  </w:pPr>
                  <w:r>
                    <w:rPr>
                      <w:rFonts w:hint="eastAsia"/>
                      <w:sz w:val="21"/>
                      <w:szCs w:val="21"/>
                    </w:rPr>
                    <w:t>1</w:t>
                  </w:r>
                </w:p>
              </w:tc>
              <w:tc>
                <w:tcPr>
                  <w:tcW w:w="523" w:type="pct"/>
                  <w:tcBorders>
                    <w:tl2br w:val="nil"/>
                    <w:tr2bl w:val="nil"/>
                  </w:tcBorders>
                  <w:vAlign w:val="center"/>
                </w:tcPr>
                <w:p w14:paraId="775567B5">
                  <w:pPr>
                    <w:snapToGrid w:val="0"/>
                    <w:spacing w:line="240" w:lineRule="auto"/>
                    <w:ind w:firstLine="0" w:firstLineChars="0"/>
                    <w:jc w:val="center"/>
                    <w:rPr>
                      <w:rFonts w:hint="default"/>
                      <w:sz w:val="21"/>
                      <w:szCs w:val="21"/>
                      <w:lang w:val="en-US"/>
                    </w:rPr>
                  </w:pPr>
                  <w:r>
                    <w:rPr>
                      <w:rFonts w:hint="eastAsia"/>
                      <w:sz w:val="21"/>
                      <w:szCs w:val="21"/>
                      <w:lang w:val="en-US" w:eastAsia="zh-CN"/>
                    </w:rPr>
                    <w:t>混料、破碎</w:t>
                  </w:r>
                </w:p>
              </w:tc>
              <w:tc>
                <w:tcPr>
                  <w:tcW w:w="346" w:type="pct"/>
                  <w:tcBorders>
                    <w:tl2br w:val="nil"/>
                    <w:tr2bl w:val="nil"/>
                  </w:tcBorders>
                  <w:vAlign w:val="center"/>
                </w:tcPr>
                <w:p w14:paraId="798EAB0E">
                  <w:pPr>
                    <w:snapToGrid w:val="0"/>
                    <w:spacing w:line="240" w:lineRule="auto"/>
                    <w:ind w:firstLine="0" w:firstLineChars="0"/>
                    <w:jc w:val="center"/>
                    <w:rPr>
                      <w:sz w:val="21"/>
                      <w:szCs w:val="21"/>
                    </w:rPr>
                  </w:pPr>
                  <w:r>
                    <w:rPr>
                      <w:rFonts w:hint="eastAsia"/>
                      <w:sz w:val="21"/>
                      <w:szCs w:val="21"/>
                    </w:rPr>
                    <w:t>颗粒物</w:t>
                  </w:r>
                </w:p>
              </w:tc>
              <w:tc>
                <w:tcPr>
                  <w:tcW w:w="375" w:type="pct"/>
                  <w:tcBorders>
                    <w:tl2br w:val="nil"/>
                    <w:tr2bl w:val="nil"/>
                  </w:tcBorders>
                  <w:vAlign w:val="center"/>
                </w:tcPr>
                <w:p w14:paraId="5E0D1D62">
                  <w:pPr>
                    <w:widowControl/>
                    <w:snapToGrid w:val="0"/>
                    <w:spacing w:line="240" w:lineRule="auto"/>
                    <w:ind w:firstLine="0" w:firstLineChars="0"/>
                    <w:jc w:val="center"/>
                    <w:textAlignment w:val="center"/>
                    <w:rPr>
                      <w:rFonts w:hint="default"/>
                      <w:sz w:val="21"/>
                      <w:szCs w:val="21"/>
                    </w:rPr>
                  </w:pPr>
                  <w:r>
                    <w:rPr>
                      <w:rFonts w:hint="default"/>
                      <w:sz w:val="21"/>
                      <w:szCs w:val="21"/>
                    </w:rPr>
                    <w:t>85°0′</w:t>
                  </w:r>
                </w:p>
                <w:p w14:paraId="5022DCEF">
                  <w:pPr>
                    <w:widowControl/>
                    <w:snapToGrid w:val="0"/>
                    <w:spacing w:line="240" w:lineRule="auto"/>
                    <w:ind w:firstLine="0" w:firstLineChars="0"/>
                    <w:jc w:val="center"/>
                    <w:textAlignment w:val="center"/>
                    <w:rPr>
                      <w:rFonts w:hint="default"/>
                      <w:sz w:val="21"/>
                      <w:szCs w:val="21"/>
                    </w:rPr>
                  </w:pPr>
                  <w:r>
                    <w:rPr>
                      <w:rFonts w:hint="default"/>
                      <w:sz w:val="21"/>
                      <w:szCs w:val="21"/>
                    </w:rPr>
                    <w:t>10.43855″</w:t>
                  </w:r>
                </w:p>
              </w:tc>
              <w:tc>
                <w:tcPr>
                  <w:tcW w:w="352" w:type="pct"/>
                  <w:tcBorders>
                    <w:tl2br w:val="nil"/>
                    <w:tr2bl w:val="nil"/>
                  </w:tcBorders>
                  <w:vAlign w:val="center"/>
                </w:tcPr>
                <w:p w14:paraId="015D0A1D">
                  <w:pPr>
                    <w:widowControl/>
                    <w:snapToGrid w:val="0"/>
                    <w:spacing w:line="240" w:lineRule="auto"/>
                    <w:ind w:firstLine="0" w:firstLineChars="0"/>
                    <w:jc w:val="center"/>
                    <w:textAlignment w:val="center"/>
                    <w:rPr>
                      <w:rFonts w:hint="default"/>
                      <w:sz w:val="21"/>
                      <w:szCs w:val="21"/>
                    </w:rPr>
                  </w:pPr>
                  <w:r>
                    <w:rPr>
                      <w:rFonts w:hint="default"/>
                      <w:sz w:val="21"/>
                      <w:szCs w:val="21"/>
                    </w:rPr>
                    <w:t>44°34′</w:t>
                  </w:r>
                </w:p>
                <w:p w14:paraId="08CA0F4B">
                  <w:pPr>
                    <w:widowControl/>
                    <w:snapToGrid w:val="0"/>
                    <w:spacing w:line="240" w:lineRule="auto"/>
                    <w:ind w:firstLine="0" w:firstLineChars="0"/>
                    <w:jc w:val="center"/>
                    <w:textAlignment w:val="center"/>
                    <w:rPr>
                      <w:rFonts w:hint="default"/>
                      <w:sz w:val="21"/>
                      <w:szCs w:val="21"/>
                    </w:rPr>
                  </w:pPr>
                  <w:r>
                    <w:rPr>
                      <w:rFonts w:hint="default"/>
                      <w:sz w:val="21"/>
                      <w:szCs w:val="21"/>
                    </w:rPr>
                    <w:t>40.62635″</w:t>
                  </w:r>
                </w:p>
              </w:tc>
              <w:tc>
                <w:tcPr>
                  <w:tcW w:w="351" w:type="pct"/>
                  <w:tcBorders>
                    <w:tl2br w:val="nil"/>
                    <w:tr2bl w:val="nil"/>
                  </w:tcBorders>
                  <w:vAlign w:val="center"/>
                </w:tcPr>
                <w:p w14:paraId="14892C41">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372</w:t>
                  </w:r>
                </w:p>
              </w:tc>
              <w:tc>
                <w:tcPr>
                  <w:tcW w:w="375" w:type="pct"/>
                  <w:tcBorders>
                    <w:tl2br w:val="nil"/>
                    <w:tr2bl w:val="nil"/>
                  </w:tcBorders>
                  <w:vAlign w:val="center"/>
                </w:tcPr>
                <w:p w14:paraId="02C28820">
                  <w:pPr>
                    <w:snapToGrid w:val="0"/>
                    <w:spacing w:line="240" w:lineRule="auto"/>
                    <w:ind w:firstLine="0" w:firstLineChars="0"/>
                    <w:jc w:val="center"/>
                    <w:rPr>
                      <w:sz w:val="21"/>
                      <w:szCs w:val="21"/>
                    </w:rPr>
                  </w:pPr>
                  <w:r>
                    <w:rPr>
                      <w:rFonts w:hint="eastAsia"/>
                      <w:sz w:val="21"/>
                      <w:szCs w:val="21"/>
                    </w:rPr>
                    <w:t>DA001</w:t>
                  </w:r>
                </w:p>
              </w:tc>
              <w:tc>
                <w:tcPr>
                  <w:tcW w:w="323" w:type="pct"/>
                  <w:tcBorders>
                    <w:tl2br w:val="nil"/>
                    <w:tr2bl w:val="nil"/>
                  </w:tcBorders>
                  <w:vAlign w:val="center"/>
                </w:tcPr>
                <w:p w14:paraId="43357095">
                  <w:pPr>
                    <w:snapToGrid w:val="0"/>
                    <w:spacing w:line="240" w:lineRule="auto"/>
                    <w:ind w:firstLine="0" w:firstLineChars="0"/>
                    <w:jc w:val="center"/>
                    <w:rPr>
                      <w:sz w:val="21"/>
                      <w:szCs w:val="21"/>
                    </w:rPr>
                  </w:pPr>
                  <w:r>
                    <w:rPr>
                      <w:rFonts w:hint="eastAsia"/>
                      <w:sz w:val="21"/>
                      <w:szCs w:val="21"/>
                    </w:rPr>
                    <w:t>15</w:t>
                  </w:r>
                </w:p>
              </w:tc>
              <w:tc>
                <w:tcPr>
                  <w:tcW w:w="323" w:type="pct"/>
                  <w:tcBorders>
                    <w:tl2br w:val="nil"/>
                    <w:tr2bl w:val="nil"/>
                  </w:tcBorders>
                  <w:vAlign w:val="center"/>
                </w:tcPr>
                <w:p w14:paraId="1BB9D413">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0.4</w:t>
                  </w:r>
                </w:p>
              </w:tc>
              <w:tc>
                <w:tcPr>
                  <w:tcW w:w="398" w:type="pct"/>
                  <w:tcBorders>
                    <w:tl2br w:val="nil"/>
                    <w:tr2bl w:val="nil"/>
                  </w:tcBorders>
                  <w:vAlign w:val="center"/>
                </w:tcPr>
                <w:p w14:paraId="54A2FBD2">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11</w:t>
                  </w:r>
                </w:p>
              </w:tc>
              <w:tc>
                <w:tcPr>
                  <w:tcW w:w="349" w:type="pct"/>
                  <w:tcBorders>
                    <w:tl2br w:val="nil"/>
                    <w:tr2bl w:val="nil"/>
                  </w:tcBorders>
                  <w:vAlign w:val="center"/>
                </w:tcPr>
                <w:p w14:paraId="35E8C5B3">
                  <w:pPr>
                    <w:snapToGrid w:val="0"/>
                    <w:spacing w:line="240" w:lineRule="auto"/>
                    <w:ind w:firstLine="0" w:firstLineChars="0"/>
                    <w:jc w:val="center"/>
                    <w:rPr>
                      <w:sz w:val="21"/>
                      <w:szCs w:val="21"/>
                    </w:rPr>
                  </w:pPr>
                  <w:r>
                    <w:rPr>
                      <w:sz w:val="21"/>
                      <w:szCs w:val="21"/>
                    </w:rPr>
                    <w:t>常温</w:t>
                  </w:r>
                </w:p>
              </w:tc>
              <w:tc>
                <w:tcPr>
                  <w:tcW w:w="329" w:type="pct"/>
                  <w:tcBorders>
                    <w:tl2br w:val="nil"/>
                    <w:tr2bl w:val="nil"/>
                  </w:tcBorders>
                  <w:vAlign w:val="center"/>
                </w:tcPr>
                <w:p w14:paraId="42BDD800">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3000</w:t>
                  </w:r>
                </w:p>
              </w:tc>
              <w:tc>
                <w:tcPr>
                  <w:tcW w:w="317" w:type="pct"/>
                  <w:tcBorders>
                    <w:tl2br w:val="nil"/>
                    <w:tr2bl w:val="nil"/>
                  </w:tcBorders>
                  <w:vAlign w:val="center"/>
                </w:tcPr>
                <w:p w14:paraId="73140CE1">
                  <w:pPr>
                    <w:snapToGrid w:val="0"/>
                    <w:spacing w:line="240" w:lineRule="auto"/>
                    <w:ind w:firstLine="0" w:firstLineChars="0"/>
                    <w:jc w:val="center"/>
                    <w:rPr>
                      <w:sz w:val="21"/>
                      <w:szCs w:val="21"/>
                    </w:rPr>
                  </w:pPr>
                  <w:r>
                    <w:rPr>
                      <w:sz w:val="21"/>
                      <w:szCs w:val="21"/>
                    </w:rPr>
                    <w:t>正常</w:t>
                  </w:r>
                </w:p>
              </w:tc>
              <w:tc>
                <w:tcPr>
                  <w:tcW w:w="510" w:type="pct"/>
                  <w:tcBorders>
                    <w:tl2br w:val="nil"/>
                    <w:tr2bl w:val="nil"/>
                  </w:tcBorders>
                  <w:vAlign w:val="center"/>
                </w:tcPr>
                <w:p w14:paraId="013EDA92">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rPr>
                    <w:t>0.</w:t>
                  </w:r>
                  <w:r>
                    <w:rPr>
                      <w:rFonts w:hint="eastAsia"/>
                      <w:sz w:val="21"/>
                      <w:szCs w:val="21"/>
                      <w:lang w:val="en-US" w:eastAsia="zh-CN"/>
                    </w:rPr>
                    <w:t>09</w:t>
                  </w:r>
                </w:p>
              </w:tc>
            </w:tr>
            <w:tr w14:paraId="68B51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2" w:hRule="atLeast"/>
                <w:jc w:val="center"/>
              </w:trPr>
              <w:tc>
                <w:tcPr>
                  <w:tcW w:w="122" w:type="pct"/>
                  <w:tcBorders>
                    <w:tl2br w:val="nil"/>
                    <w:tr2bl w:val="nil"/>
                  </w:tcBorders>
                  <w:vAlign w:val="center"/>
                </w:tcPr>
                <w:p w14:paraId="761250C3">
                  <w:pPr>
                    <w:widowControl/>
                    <w:snapToGrid w:val="0"/>
                    <w:spacing w:line="240" w:lineRule="auto"/>
                    <w:ind w:firstLine="0" w:firstLineChars="0"/>
                    <w:jc w:val="center"/>
                    <w:textAlignment w:val="center"/>
                    <w:rPr>
                      <w:sz w:val="21"/>
                      <w:szCs w:val="21"/>
                    </w:rPr>
                  </w:pPr>
                  <w:r>
                    <w:rPr>
                      <w:rFonts w:hint="eastAsia"/>
                      <w:sz w:val="21"/>
                      <w:szCs w:val="21"/>
                    </w:rPr>
                    <w:t>2</w:t>
                  </w:r>
                </w:p>
              </w:tc>
              <w:tc>
                <w:tcPr>
                  <w:tcW w:w="523" w:type="pct"/>
                  <w:tcBorders>
                    <w:tl2br w:val="nil"/>
                    <w:tr2bl w:val="nil"/>
                  </w:tcBorders>
                  <w:vAlign w:val="center"/>
                </w:tcPr>
                <w:p w14:paraId="5F505353">
                  <w:pPr>
                    <w:snapToGrid w:val="0"/>
                    <w:spacing w:line="240" w:lineRule="auto"/>
                    <w:ind w:firstLine="0" w:firstLineChars="0"/>
                    <w:jc w:val="center"/>
                    <w:rPr>
                      <w:sz w:val="21"/>
                      <w:szCs w:val="21"/>
                    </w:rPr>
                  </w:pPr>
                  <w:r>
                    <w:rPr>
                      <w:rFonts w:hint="eastAsia"/>
                      <w:sz w:val="21"/>
                      <w:szCs w:val="21"/>
                      <w:lang w:val="en-US" w:eastAsia="zh-CN"/>
                    </w:rPr>
                    <w:t>塑料制品挤出设备</w:t>
                  </w:r>
                </w:p>
              </w:tc>
              <w:tc>
                <w:tcPr>
                  <w:tcW w:w="346" w:type="pct"/>
                  <w:tcBorders>
                    <w:tl2br w:val="nil"/>
                    <w:tr2bl w:val="nil"/>
                  </w:tcBorders>
                  <w:vAlign w:val="center"/>
                </w:tcPr>
                <w:p w14:paraId="287AD3A4">
                  <w:pPr>
                    <w:widowControl/>
                    <w:snapToGrid w:val="0"/>
                    <w:spacing w:line="240" w:lineRule="auto"/>
                    <w:ind w:firstLine="0" w:firstLineChars="0"/>
                    <w:jc w:val="center"/>
                    <w:textAlignment w:val="center"/>
                    <w:rPr>
                      <w:sz w:val="21"/>
                      <w:szCs w:val="21"/>
                    </w:rPr>
                  </w:pPr>
                  <w:r>
                    <w:rPr>
                      <w:rFonts w:hint="eastAsia"/>
                      <w:sz w:val="21"/>
                      <w:szCs w:val="21"/>
                      <w:lang w:val="en-US" w:eastAsia="zh-CN"/>
                    </w:rPr>
                    <w:t>非甲烷总烃</w:t>
                  </w:r>
                </w:p>
              </w:tc>
              <w:tc>
                <w:tcPr>
                  <w:tcW w:w="375" w:type="pct"/>
                  <w:tcBorders>
                    <w:tl2br w:val="nil"/>
                    <w:tr2bl w:val="nil"/>
                  </w:tcBorders>
                  <w:vAlign w:val="center"/>
                </w:tcPr>
                <w:p w14:paraId="0C34EE19">
                  <w:pPr>
                    <w:widowControl/>
                    <w:snapToGrid w:val="0"/>
                    <w:spacing w:line="240" w:lineRule="auto"/>
                    <w:ind w:firstLine="0" w:firstLineChars="0"/>
                    <w:jc w:val="center"/>
                    <w:textAlignment w:val="center"/>
                    <w:rPr>
                      <w:rFonts w:hint="default"/>
                      <w:sz w:val="21"/>
                      <w:szCs w:val="21"/>
                    </w:rPr>
                  </w:pPr>
                  <w:r>
                    <w:rPr>
                      <w:rFonts w:hint="default"/>
                      <w:sz w:val="21"/>
                      <w:szCs w:val="21"/>
                    </w:rPr>
                    <w:t>85°0′</w:t>
                  </w:r>
                </w:p>
                <w:p w14:paraId="4098F809">
                  <w:pPr>
                    <w:widowControl/>
                    <w:snapToGrid w:val="0"/>
                    <w:spacing w:line="240" w:lineRule="auto"/>
                    <w:ind w:firstLine="0" w:firstLineChars="0"/>
                    <w:jc w:val="center"/>
                    <w:textAlignment w:val="center"/>
                    <w:rPr>
                      <w:rFonts w:hint="default"/>
                      <w:sz w:val="21"/>
                      <w:szCs w:val="21"/>
                    </w:rPr>
                  </w:pPr>
                  <w:r>
                    <w:rPr>
                      <w:rFonts w:hint="default"/>
                      <w:sz w:val="21"/>
                      <w:szCs w:val="21"/>
                    </w:rPr>
                    <w:t>9.01912″</w:t>
                  </w:r>
                </w:p>
              </w:tc>
              <w:tc>
                <w:tcPr>
                  <w:tcW w:w="352" w:type="pct"/>
                  <w:tcBorders>
                    <w:tl2br w:val="nil"/>
                    <w:tr2bl w:val="nil"/>
                  </w:tcBorders>
                  <w:vAlign w:val="center"/>
                </w:tcPr>
                <w:p w14:paraId="0CA81C5B">
                  <w:pPr>
                    <w:widowControl/>
                    <w:snapToGrid w:val="0"/>
                    <w:spacing w:line="240" w:lineRule="auto"/>
                    <w:ind w:firstLine="0" w:firstLineChars="0"/>
                    <w:jc w:val="center"/>
                    <w:textAlignment w:val="center"/>
                    <w:rPr>
                      <w:rFonts w:hint="default"/>
                      <w:sz w:val="21"/>
                      <w:szCs w:val="21"/>
                    </w:rPr>
                  </w:pPr>
                  <w:r>
                    <w:rPr>
                      <w:rFonts w:hint="default"/>
                      <w:sz w:val="21"/>
                      <w:szCs w:val="21"/>
                    </w:rPr>
                    <w:t>44°34′</w:t>
                  </w:r>
                </w:p>
                <w:p w14:paraId="2B5BDE2B">
                  <w:pPr>
                    <w:widowControl/>
                    <w:snapToGrid w:val="0"/>
                    <w:spacing w:line="240" w:lineRule="auto"/>
                    <w:ind w:firstLine="0" w:firstLineChars="0"/>
                    <w:jc w:val="center"/>
                    <w:textAlignment w:val="center"/>
                    <w:rPr>
                      <w:rFonts w:hint="default"/>
                      <w:sz w:val="21"/>
                      <w:szCs w:val="21"/>
                    </w:rPr>
                  </w:pPr>
                  <w:r>
                    <w:rPr>
                      <w:rFonts w:hint="default"/>
                      <w:sz w:val="21"/>
                      <w:szCs w:val="21"/>
                    </w:rPr>
                    <w:t>40.25943″</w:t>
                  </w:r>
                </w:p>
              </w:tc>
              <w:tc>
                <w:tcPr>
                  <w:tcW w:w="351" w:type="pct"/>
                  <w:tcBorders>
                    <w:tl2br w:val="nil"/>
                    <w:tr2bl w:val="nil"/>
                  </w:tcBorders>
                  <w:vAlign w:val="center"/>
                </w:tcPr>
                <w:p w14:paraId="75B4B326">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372</w:t>
                  </w:r>
                </w:p>
              </w:tc>
              <w:tc>
                <w:tcPr>
                  <w:tcW w:w="375" w:type="pct"/>
                  <w:tcBorders>
                    <w:tl2br w:val="nil"/>
                    <w:tr2bl w:val="nil"/>
                  </w:tcBorders>
                  <w:vAlign w:val="center"/>
                </w:tcPr>
                <w:p w14:paraId="281A9B60">
                  <w:pPr>
                    <w:widowControl/>
                    <w:snapToGrid w:val="0"/>
                    <w:spacing w:line="240" w:lineRule="auto"/>
                    <w:ind w:firstLine="0" w:firstLineChars="0"/>
                    <w:jc w:val="center"/>
                    <w:textAlignment w:val="center"/>
                    <w:rPr>
                      <w:sz w:val="21"/>
                      <w:szCs w:val="21"/>
                    </w:rPr>
                  </w:pPr>
                  <w:r>
                    <w:rPr>
                      <w:rFonts w:hint="eastAsia"/>
                      <w:sz w:val="21"/>
                      <w:szCs w:val="21"/>
                    </w:rPr>
                    <w:t>DA002</w:t>
                  </w:r>
                </w:p>
              </w:tc>
              <w:tc>
                <w:tcPr>
                  <w:tcW w:w="323" w:type="pct"/>
                  <w:tcBorders>
                    <w:tl2br w:val="nil"/>
                    <w:tr2bl w:val="nil"/>
                  </w:tcBorders>
                  <w:vAlign w:val="center"/>
                </w:tcPr>
                <w:p w14:paraId="3545DF59">
                  <w:pPr>
                    <w:widowControl/>
                    <w:snapToGrid w:val="0"/>
                    <w:spacing w:line="240" w:lineRule="auto"/>
                    <w:ind w:firstLine="0" w:firstLineChars="0"/>
                    <w:jc w:val="center"/>
                    <w:textAlignment w:val="center"/>
                    <w:rPr>
                      <w:sz w:val="21"/>
                      <w:szCs w:val="21"/>
                    </w:rPr>
                  </w:pPr>
                  <w:r>
                    <w:rPr>
                      <w:rFonts w:hint="eastAsia"/>
                      <w:sz w:val="21"/>
                      <w:szCs w:val="21"/>
                    </w:rPr>
                    <w:t>15</w:t>
                  </w:r>
                </w:p>
              </w:tc>
              <w:tc>
                <w:tcPr>
                  <w:tcW w:w="323" w:type="pct"/>
                  <w:tcBorders>
                    <w:tl2br w:val="nil"/>
                    <w:tr2bl w:val="nil"/>
                  </w:tcBorders>
                  <w:vAlign w:val="center"/>
                </w:tcPr>
                <w:p w14:paraId="7171D80D">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1.2</w:t>
                  </w:r>
                </w:p>
              </w:tc>
              <w:tc>
                <w:tcPr>
                  <w:tcW w:w="398" w:type="pct"/>
                  <w:tcBorders>
                    <w:tl2br w:val="nil"/>
                    <w:tr2bl w:val="nil"/>
                  </w:tcBorders>
                  <w:vAlign w:val="center"/>
                </w:tcPr>
                <w:p w14:paraId="6F882A37">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12.3</w:t>
                  </w:r>
                </w:p>
              </w:tc>
              <w:tc>
                <w:tcPr>
                  <w:tcW w:w="349" w:type="pct"/>
                  <w:tcBorders>
                    <w:tl2br w:val="nil"/>
                    <w:tr2bl w:val="nil"/>
                  </w:tcBorders>
                  <w:vAlign w:val="center"/>
                </w:tcPr>
                <w:p w14:paraId="064A4465">
                  <w:pPr>
                    <w:widowControl/>
                    <w:snapToGrid w:val="0"/>
                    <w:spacing w:line="240" w:lineRule="auto"/>
                    <w:ind w:firstLine="0" w:firstLineChars="0"/>
                    <w:jc w:val="center"/>
                    <w:textAlignment w:val="center"/>
                    <w:rPr>
                      <w:sz w:val="21"/>
                      <w:szCs w:val="21"/>
                    </w:rPr>
                  </w:pPr>
                  <w:r>
                    <w:rPr>
                      <w:sz w:val="21"/>
                      <w:szCs w:val="21"/>
                    </w:rPr>
                    <w:t>常温</w:t>
                  </w:r>
                </w:p>
              </w:tc>
              <w:tc>
                <w:tcPr>
                  <w:tcW w:w="329" w:type="pct"/>
                  <w:tcBorders>
                    <w:tl2br w:val="nil"/>
                    <w:tr2bl w:val="nil"/>
                  </w:tcBorders>
                  <w:vAlign w:val="center"/>
                </w:tcPr>
                <w:p w14:paraId="5E2315CE">
                  <w:pPr>
                    <w:widowControl/>
                    <w:snapToGrid w:val="0"/>
                    <w:spacing w:line="240" w:lineRule="auto"/>
                    <w:ind w:firstLine="0" w:firstLineChars="0"/>
                    <w:jc w:val="center"/>
                    <w:textAlignment w:val="center"/>
                    <w:rPr>
                      <w:sz w:val="21"/>
                      <w:szCs w:val="21"/>
                    </w:rPr>
                  </w:pPr>
                  <w:r>
                    <w:rPr>
                      <w:rFonts w:hint="eastAsia"/>
                      <w:sz w:val="21"/>
                      <w:szCs w:val="21"/>
                      <w:lang w:val="en-US" w:eastAsia="zh-CN"/>
                    </w:rPr>
                    <w:t>30</w:t>
                  </w:r>
                  <w:r>
                    <w:rPr>
                      <w:rFonts w:hint="eastAsia"/>
                      <w:sz w:val="21"/>
                      <w:szCs w:val="21"/>
                    </w:rPr>
                    <w:t>00</w:t>
                  </w:r>
                </w:p>
              </w:tc>
              <w:tc>
                <w:tcPr>
                  <w:tcW w:w="317" w:type="pct"/>
                  <w:tcBorders>
                    <w:tl2br w:val="nil"/>
                    <w:tr2bl w:val="nil"/>
                  </w:tcBorders>
                  <w:vAlign w:val="center"/>
                </w:tcPr>
                <w:p w14:paraId="0A8B8268">
                  <w:pPr>
                    <w:widowControl/>
                    <w:snapToGrid w:val="0"/>
                    <w:spacing w:line="240" w:lineRule="auto"/>
                    <w:ind w:firstLine="0" w:firstLineChars="0"/>
                    <w:jc w:val="center"/>
                    <w:textAlignment w:val="center"/>
                    <w:rPr>
                      <w:sz w:val="21"/>
                      <w:szCs w:val="21"/>
                    </w:rPr>
                  </w:pPr>
                  <w:r>
                    <w:rPr>
                      <w:sz w:val="21"/>
                      <w:szCs w:val="21"/>
                    </w:rPr>
                    <w:t>正常</w:t>
                  </w:r>
                </w:p>
              </w:tc>
              <w:tc>
                <w:tcPr>
                  <w:tcW w:w="510" w:type="pct"/>
                  <w:tcBorders>
                    <w:tl2br w:val="nil"/>
                    <w:tr2bl w:val="nil"/>
                  </w:tcBorders>
                  <w:vAlign w:val="center"/>
                </w:tcPr>
                <w:p w14:paraId="0CDC4392">
                  <w:pPr>
                    <w:widowControl/>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1.287</w:t>
                  </w:r>
                </w:p>
              </w:tc>
            </w:tr>
          </w:tbl>
          <w:p w14:paraId="08F0080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jc w:val="left"/>
              <w:textAlignment w:val="auto"/>
              <w:rPr>
                <w:sz w:val="21"/>
                <w:szCs w:val="21"/>
              </w:rPr>
            </w:pPr>
            <w:r>
              <w:rPr>
                <w:rFonts w:hint="eastAsia"/>
                <w:sz w:val="21"/>
                <w:szCs w:val="21"/>
                <w:lang w:val="en-US" w:eastAsia="zh-CN"/>
              </w:rPr>
              <w:t>2正常工况废气源强计算</w:t>
            </w:r>
          </w:p>
          <w:p w14:paraId="242FEAE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sz w:val="21"/>
                <w:szCs w:val="21"/>
              </w:rPr>
            </w:pPr>
            <w:r>
              <w:rPr>
                <w:rFonts w:hint="eastAsia"/>
                <w:sz w:val="21"/>
                <w:szCs w:val="21"/>
              </w:rPr>
              <w:t>本项目运营过程中涉及非正常工况的生产主要为</w:t>
            </w:r>
            <w:r>
              <w:rPr>
                <w:rFonts w:hint="eastAsia"/>
                <w:sz w:val="21"/>
                <w:szCs w:val="21"/>
                <w:lang w:val="en-US" w:eastAsia="zh-CN"/>
              </w:rPr>
              <w:t>颗粒物</w:t>
            </w:r>
            <w:r>
              <w:rPr>
                <w:rFonts w:hint="eastAsia"/>
                <w:sz w:val="21"/>
                <w:szCs w:val="21"/>
              </w:rPr>
              <w:t>、非甲烷总烃。当废气处理装置发生故障后，对主要污染物的收集及去除效率均从正常下降到50%作为事故排放源强。本项目非正常（事故）工况，每次不超过1h，据此计算非正常工况下大气污染物排放情况见下表。</w:t>
            </w:r>
          </w:p>
          <w:p w14:paraId="706AC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21"/>
                <w:szCs w:val="21"/>
                <w:lang w:val="zh-CN" w:eastAsia="zh-CN"/>
              </w:rPr>
            </w:pPr>
            <w:r>
              <w:rPr>
                <w:rFonts w:hint="eastAsia" w:ascii="黑体" w:hAnsi="黑体" w:eastAsia="黑体" w:cs="黑体"/>
                <w:sz w:val="21"/>
                <w:szCs w:val="21"/>
                <w:lang w:val="en-GB" w:eastAsia="zh-CN"/>
              </w:rPr>
              <w:t>表</w:t>
            </w:r>
            <w:r>
              <w:rPr>
                <w:rFonts w:hint="eastAsia" w:ascii="黑体" w:hAnsi="黑体" w:eastAsia="黑体" w:cs="黑体"/>
                <w:sz w:val="21"/>
                <w:szCs w:val="21"/>
                <w:lang w:val="en-US" w:eastAsia="zh-CN"/>
              </w:rPr>
              <w:t>4-3</w:t>
            </w:r>
            <w:r>
              <w:rPr>
                <w:rFonts w:hint="eastAsia" w:ascii="黑体" w:hAnsi="黑体" w:eastAsia="黑体" w:cs="黑体"/>
                <w:sz w:val="21"/>
                <w:szCs w:val="21"/>
                <w:lang w:val="zh-CN" w:eastAsia="zh-CN"/>
              </w:rPr>
              <w:t xml:space="preserve">   非正常工况污染物排放汇总一览表</w:t>
            </w:r>
          </w:p>
          <w:tbl>
            <w:tblPr>
              <w:tblStyle w:val="30"/>
              <w:tblW w:w="4996"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177"/>
              <w:gridCol w:w="768"/>
              <w:gridCol w:w="817"/>
              <w:gridCol w:w="1425"/>
              <w:gridCol w:w="1153"/>
              <w:gridCol w:w="977"/>
              <w:gridCol w:w="1278"/>
            </w:tblGrid>
            <w:tr w14:paraId="08681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5" w:type="pct"/>
                  <w:tcBorders>
                    <w:tl2br w:val="nil"/>
                    <w:tr2bl w:val="nil"/>
                  </w:tcBorders>
                  <w:vAlign w:val="center"/>
                </w:tcPr>
                <w:p w14:paraId="2A8314A2">
                  <w:pPr>
                    <w:pStyle w:val="76"/>
                    <w:rPr>
                      <w:sz w:val="21"/>
                      <w:szCs w:val="21"/>
                    </w:rPr>
                  </w:pPr>
                  <w:r>
                    <w:rPr>
                      <w:sz w:val="21"/>
                      <w:szCs w:val="21"/>
                    </w:rPr>
                    <w:t>排放源</w:t>
                  </w:r>
                </w:p>
              </w:tc>
              <w:tc>
                <w:tcPr>
                  <w:tcW w:w="693" w:type="pct"/>
                  <w:tcBorders>
                    <w:tl2br w:val="nil"/>
                    <w:tr2bl w:val="nil"/>
                  </w:tcBorders>
                  <w:vAlign w:val="center"/>
                </w:tcPr>
                <w:p w14:paraId="53785CE0">
                  <w:pPr>
                    <w:pStyle w:val="76"/>
                    <w:rPr>
                      <w:sz w:val="21"/>
                      <w:szCs w:val="21"/>
                    </w:rPr>
                  </w:pPr>
                  <w:r>
                    <w:rPr>
                      <w:sz w:val="21"/>
                      <w:szCs w:val="21"/>
                    </w:rPr>
                    <w:t>非正常排放原因</w:t>
                  </w:r>
                </w:p>
              </w:tc>
              <w:tc>
                <w:tcPr>
                  <w:tcW w:w="452" w:type="pct"/>
                  <w:tcBorders>
                    <w:tl2br w:val="nil"/>
                    <w:tr2bl w:val="nil"/>
                  </w:tcBorders>
                  <w:vAlign w:val="center"/>
                </w:tcPr>
                <w:p w14:paraId="296C3C1A">
                  <w:pPr>
                    <w:pStyle w:val="76"/>
                    <w:rPr>
                      <w:sz w:val="21"/>
                      <w:szCs w:val="21"/>
                    </w:rPr>
                  </w:pPr>
                  <w:r>
                    <w:rPr>
                      <w:sz w:val="21"/>
                      <w:szCs w:val="21"/>
                    </w:rPr>
                    <w:t>污染源</w:t>
                  </w:r>
                </w:p>
              </w:tc>
              <w:tc>
                <w:tcPr>
                  <w:tcW w:w="481" w:type="pct"/>
                  <w:tcBorders>
                    <w:tl2br w:val="nil"/>
                    <w:tr2bl w:val="nil"/>
                  </w:tcBorders>
                  <w:vAlign w:val="center"/>
                </w:tcPr>
                <w:p w14:paraId="3DB7F378">
                  <w:pPr>
                    <w:pStyle w:val="76"/>
                    <w:rPr>
                      <w:sz w:val="21"/>
                      <w:szCs w:val="21"/>
                    </w:rPr>
                  </w:pPr>
                  <w:r>
                    <w:rPr>
                      <w:sz w:val="21"/>
                      <w:szCs w:val="21"/>
                    </w:rPr>
                    <w:t>污染物</w:t>
                  </w:r>
                </w:p>
              </w:tc>
              <w:tc>
                <w:tcPr>
                  <w:tcW w:w="839" w:type="pct"/>
                  <w:tcBorders>
                    <w:tl2br w:val="nil"/>
                    <w:tr2bl w:val="nil"/>
                  </w:tcBorders>
                  <w:vAlign w:val="center"/>
                </w:tcPr>
                <w:p w14:paraId="4FA71669">
                  <w:pPr>
                    <w:pStyle w:val="76"/>
                    <w:rPr>
                      <w:sz w:val="21"/>
                      <w:szCs w:val="21"/>
                    </w:rPr>
                  </w:pPr>
                  <w:r>
                    <w:rPr>
                      <w:sz w:val="21"/>
                      <w:szCs w:val="21"/>
                    </w:rPr>
                    <w:t>非正常排放速率kg/h</w:t>
                  </w:r>
                </w:p>
              </w:tc>
              <w:tc>
                <w:tcPr>
                  <w:tcW w:w="679" w:type="pct"/>
                  <w:tcBorders>
                    <w:tl2br w:val="nil"/>
                    <w:tr2bl w:val="nil"/>
                  </w:tcBorders>
                  <w:vAlign w:val="center"/>
                </w:tcPr>
                <w:p w14:paraId="2DD453DB">
                  <w:pPr>
                    <w:pStyle w:val="76"/>
                    <w:rPr>
                      <w:sz w:val="21"/>
                      <w:szCs w:val="21"/>
                    </w:rPr>
                  </w:pPr>
                  <w:r>
                    <w:rPr>
                      <w:sz w:val="21"/>
                      <w:szCs w:val="21"/>
                    </w:rPr>
                    <w:t>单次持续时间/h</w:t>
                  </w:r>
                </w:p>
              </w:tc>
              <w:tc>
                <w:tcPr>
                  <w:tcW w:w="575" w:type="pct"/>
                  <w:tcBorders>
                    <w:tl2br w:val="nil"/>
                    <w:tr2bl w:val="nil"/>
                  </w:tcBorders>
                  <w:vAlign w:val="center"/>
                </w:tcPr>
                <w:p w14:paraId="7E6278C0">
                  <w:pPr>
                    <w:pStyle w:val="76"/>
                    <w:rPr>
                      <w:sz w:val="21"/>
                      <w:szCs w:val="21"/>
                    </w:rPr>
                  </w:pPr>
                  <w:r>
                    <w:rPr>
                      <w:sz w:val="21"/>
                      <w:szCs w:val="21"/>
                    </w:rPr>
                    <w:t>年发生频次/次</w:t>
                  </w:r>
                </w:p>
              </w:tc>
              <w:tc>
                <w:tcPr>
                  <w:tcW w:w="752" w:type="pct"/>
                  <w:tcBorders>
                    <w:tl2br w:val="nil"/>
                    <w:tr2bl w:val="nil"/>
                  </w:tcBorders>
                  <w:vAlign w:val="center"/>
                </w:tcPr>
                <w:p w14:paraId="354CF082">
                  <w:pPr>
                    <w:pStyle w:val="76"/>
                    <w:rPr>
                      <w:sz w:val="21"/>
                      <w:szCs w:val="21"/>
                    </w:rPr>
                  </w:pPr>
                  <w:r>
                    <w:rPr>
                      <w:sz w:val="21"/>
                      <w:szCs w:val="21"/>
                    </w:rPr>
                    <w:t>应对措施</w:t>
                  </w:r>
                </w:p>
              </w:tc>
            </w:tr>
            <w:tr w14:paraId="41E43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25" w:type="pct"/>
                  <w:tcBorders>
                    <w:tl2br w:val="nil"/>
                    <w:tr2bl w:val="nil"/>
                  </w:tcBorders>
                  <w:vAlign w:val="center"/>
                </w:tcPr>
                <w:p w14:paraId="59CB34BA">
                  <w:pPr>
                    <w:pStyle w:val="76"/>
                    <w:rPr>
                      <w:sz w:val="21"/>
                      <w:szCs w:val="21"/>
                    </w:rPr>
                  </w:pPr>
                  <w:r>
                    <w:rPr>
                      <w:sz w:val="21"/>
                      <w:szCs w:val="21"/>
                    </w:rPr>
                    <w:t>DA00</w:t>
                  </w:r>
                  <w:r>
                    <w:rPr>
                      <w:rFonts w:hint="eastAsia"/>
                      <w:sz w:val="21"/>
                      <w:szCs w:val="21"/>
                    </w:rPr>
                    <w:t>1</w:t>
                  </w:r>
                </w:p>
              </w:tc>
              <w:tc>
                <w:tcPr>
                  <w:tcW w:w="693" w:type="pct"/>
                  <w:tcBorders>
                    <w:tl2br w:val="nil"/>
                    <w:tr2bl w:val="nil"/>
                  </w:tcBorders>
                  <w:vAlign w:val="center"/>
                </w:tcPr>
                <w:p w14:paraId="44FC9658">
                  <w:pPr>
                    <w:pStyle w:val="76"/>
                    <w:rPr>
                      <w:sz w:val="21"/>
                      <w:szCs w:val="21"/>
                    </w:rPr>
                  </w:pPr>
                  <w:r>
                    <w:rPr>
                      <w:rFonts w:hint="eastAsia"/>
                      <w:sz w:val="21"/>
                      <w:szCs w:val="21"/>
                    </w:rPr>
                    <w:t>布袋</w:t>
                  </w:r>
                  <w:r>
                    <w:rPr>
                      <w:sz w:val="21"/>
                      <w:szCs w:val="21"/>
                    </w:rPr>
                    <w:t>式除尘器故障</w:t>
                  </w:r>
                </w:p>
              </w:tc>
              <w:tc>
                <w:tcPr>
                  <w:tcW w:w="452" w:type="pct"/>
                  <w:tcBorders>
                    <w:tl2br w:val="nil"/>
                    <w:tr2bl w:val="nil"/>
                  </w:tcBorders>
                  <w:vAlign w:val="center"/>
                </w:tcPr>
                <w:p w14:paraId="50A4EBEA">
                  <w:pPr>
                    <w:pStyle w:val="76"/>
                    <w:rPr>
                      <w:sz w:val="21"/>
                      <w:szCs w:val="21"/>
                    </w:rPr>
                  </w:pPr>
                  <w:r>
                    <w:rPr>
                      <w:sz w:val="21"/>
                      <w:szCs w:val="21"/>
                    </w:rPr>
                    <w:t>排气筒</w:t>
                  </w:r>
                </w:p>
              </w:tc>
              <w:tc>
                <w:tcPr>
                  <w:tcW w:w="481" w:type="pct"/>
                  <w:tcBorders>
                    <w:tl2br w:val="nil"/>
                    <w:tr2bl w:val="nil"/>
                  </w:tcBorders>
                  <w:vAlign w:val="center"/>
                </w:tcPr>
                <w:p w14:paraId="457955EE">
                  <w:pPr>
                    <w:pStyle w:val="76"/>
                    <w:rPr>
                      <w:sz w:val="21"/>
                      <w:szCs w:val="21"/>
                    </w:rPr>
                  </w:pPr>
                  <w:r>
                    <w:rPr>
                      <w:sz w:val="21"/>
                      <w:szCs w:val="21"/>
                    </w:rPr>
                    <w:t>颗粒物</w:t>
                  </w:r>
                </w:p>
              </w:tc>
              <w:tc>
                <w:tcPr>
                  <w:tcW w:w="839" w:type="pct"/>
                  <w:tcBorders>
                    <w:tl2br w:val="nil"/>
                    <w:tr2bl w:val="nil"/>
                  </w:tcBorders>
                  <w:vAlign w:val="center"/>
                </w:tcPr>
                <w:p w14:paraId="5E460968">
                  <w:pPr>
                    <w:pStyle w:val="76"/>
                    <w:rPr>
                      <w:rFonts w:hint="default"/>
                      <w:sz w:val="21"/>
                      <w:szCs w:val="21"/>
                      <w:lang w:val="en-US" w:eastAsia="zh-CN"/>
                    </w:rPr>
                  </w:pPr>
                  <w:r>
                    <w:rPr>
                      <w:rFonts w:hint="eastAsia"/>
                      <w:sz w:val="21"/>
                      <w:szCs w:val="21"/>
                      <w:lang w:val="en-US" w:eastAsia="zh-CN"/>
                    </w:rPr>
                    <w:t>2.5</w:t>
                  </w:r>
                </w:p>
              </w:tc>
              <w:tc>
                <w:tcPr>
                  <w:tcW w:w="679" w:type="pct"/>
                  <w:tcBorders>
                    <w:tl2br w:val="nil"/>
                    <w:tr2bl w:val="nil"/>
                  </w:tcBorders>
                  <w:vAlign w:val="center"/>
                </w:tcPr>
                <w:p w14:paraId="450D90D6">
                  <w:pPr>
                    <w:pStyle w:val="76"/>
                    <w:rPr>
                      <w:sz w:val="21"/>
                      <w:szCs w:val="21"/>
                    </w:rPr>
                  </w:pPr>
                  <w:r>
                    <w:rPr>
                      <w:rFonts w:hint="eastAsia"/>
                      <w:sz w:val="21"/>
                      <w:szCs w:val="21"/>
                    </w:rPr>
                    <w:t>1</w:t>
                  </w:r>
                </w:p>
              </w:tc>
              <w:tc>
                <w:tcPr>
                  <w:tcW w:w="575" w:type="pct"/>
                  <w:tcBorders>
                    <w:tl2br w:val="nil"/>
                    <w:tr2bl w:val="nil"/>
                  </w:tcBorders>
                  <w:vAlign w:val="center"/>
                </w:tcPr>
                <w:p w14:paraId="60F8D401">
                  <w:pPr>
                    <w:pStyle w:val="76"/>
                    <w:rPr>
                      <w:sz w:val="21"/>
                      <w:szCs w:val="21"/>
                    </w:rPr>
                  </w:pPr>
                  <w:r>
                    <w:rPr>
                      <w:rFonts w:hint="eastAsia"/>
                      <w:sz w:val="21"/>
                      <w:szCs w:val="21"/>
                    </w:rPr>
                    <w:t>1</w:t>
                  </w:r>
                </w:p>
              </w:tc>
              <w:tc>
                <w:tcPr>
                  <w:tcW w:w="752" w:type="pct"/>
                  <w:tcBorders>
                    <w:tl2br w:val="nil"/>
                    <w:tr2bl w:val="nil"/>
                  </w:tcBorders>
                  <w:vAlign w:val="center"/>
                </w:tcPr>
                <w:p w14:paraId="11532992">
                  <w:pPr>
                    <w:pStyle w:val="76"/>
                    <w:rPr>
                      <w:sz w:val="21"/>
                      <w:szCs w:val="21"/>
                    </w:rPr>
                  </w:pPr>
                  <w:r>
                    <w:rPr>
                      <w:sz w:val="21"/>
                      <w:szCs w:val="21"/>
                    </w:rPr>
                    <w:t>停止生产，更换检修除尘器</w:t>
                  </w:r>
                </w:p>
              </w:tc>
            </w:tr>
            <w:tr w14:paraId="79CD2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25" w:type="pct"/>
                  <w:tcBorders>
                    <w:tl2br w:val="nil"/>
                    <w:tr2bl w:val="nil"/>
                  </w:tcBorders>
                  <w:vAlign w:val="center"/>
                </w:tcPr>
                <w:p w14:paraId="73655BF3">
                  <w:pPr>
                    <w:spacing w:line="240" w:lineRule="auto"/>
                    <w:ind w:firstLine="0" w:firstLineChars="0"/>
                    <w:jc w:val="center"/>
                    <w:rPr>
                      <w:sz w:val="21"/>
                      <w:szCs w:val="21"/>
                    </w:rPr>
                  </w:pPr>
                  <w:r>
                    <w:rPr>
                      <w:sz w:val="21"/>
                      <w:szCs w:val="21"/>
                    </w:rPr>
                    <w:t>DA00</w:t>
                  </w:r>
                  <w:r>
                    <w:rPr>
                      <w:rFonts w:hint="eastAsia"/>
                      <w:sz w:val="21"/>
                      <w:szCs w:val="21"/>
                    </w:rPr>
                    <w:t>2</w:t>
                  </w:r>
                </w:p>
              </w:tc>
              <w:tc>
                <w:tcPr>
                  <w:tcW w:w="693" w:type="pct"/>
                  <w:tcBorders>
                    <w:tl2br w:val="nil"/>
                    <w:tr2bl w:val="nil"/>
                  </w:tcBorders>
                  <w:vAlign w:val="center"/>
                </w:tcPr>
                <w:p w14:paraId="2B0AD519">
                  <w:pPr>
                    <w:spacing w:line="240" w:lineRule="auto"/>
                    <w:ind w:firstLine="0" w:firstLineChars="0"/>
                    <w:jc w:val="center"/>
                    <w:rPr>
                      <w:rFonts w:hint="default"/>
                      <w:sz w:val="21"/>
                      <w:szCs w:val="21"/>
                      <w:lang w:val="en-US" w:eastAsia="zh-CN"/>
                    </w:rPr>
                  </w:pPr>
                  <w:r>
                    <w:rPr>
                      <w:rFonts w:hint="eastAsia"/>
                      <w:sz w:val="21"/>
                      <w:szCs w:val="21"/>
                      <w:lang w:val="en-US" w:eastAsia="zh-CN"/>
                    </w:rPr>
                    <w:t>活性炭失去吸附功能或催化燃烧器故障</w:t>
                  </w:r>
                </w:p>
              </w:tc>
              <w:tc>
                <w:tcPr>
                  <w:tcW w:w="452" w:type="pct"/>
                  <w:tcBorders>
                    <w:tl2br w:val="nil"/>
                    <w:tr2bl w:val="nil"/>
                  </w:tcBorders>
                  <w:vAlign w:val="center"/>
                </w:tcPr>
                <w:p w14:paraId="4CE5E54D">
                  <w:pPr>
                    <w:spacing w:line="240" w:lineRule="auto"/>
                    <w:ind w:firstLine="0" w:firstLineChars="0"/>
                    <w:jc w:val="center"/>
                    <w:rPr>
                      <w:sz w:val="21"/>
                      <w:szCs w:val="21"/>
                    </w:rPr>
                  </w:pPr>
                  <w:r>
                    <w:rPr>
                      <w:sz w:val="21"/>
                      <w:szCs w:val="21"/>
                    </w:rPr>
                    <w:t>排气筒</w:t>
                  </w:r>
                </w:p>
              </w:tc>
              <w:tc>
                <w:tcPr>
                  <w:tcW w:w="481" w:type="pct"/>
                  <w:tcBorders>
                    <w:tl2br w:val="nil"/>
                    <w:tr2bl w:val="nil"/>
                  </w:tcBorders>
                  <w:vAlign w:val="center"/>
                </w:tcPr>
                <w:p w14:paraId="3784A359">
                  <w:pPr>
                    <w:pStyle w:val="76"/>
                    <w:rPr>
                      <w:rFonts w:hint="eastAsia"/>
                      <w:sz w:val="21"/>
                      <w:szCs w:val="21"/>
                      <w:lang w:eastAsia="zh-CN"/>
                    </w:rPr>
                  </w:pPr>
                  <w:r>
                    <w:rPr>
                      <w:rFonts w:hint="eastAsia"/>
                      <w:sz w:val="21"/>
                      <w:szCs w:val="21"/>
                      <w:lang w:val="en-US" w:eastAsia="zh-CN"/>
                    </w:rPr>
                    <w:t>非甲烷总烃</w:t>
                  </w:r>
                </w:p>
              </w:tc>
              <w:tc>
                <w:tcPr>
                  <w:tcW w:w="839" w:type="pct"/>
                  <w:tcBorders>
                    <w:tl2br w:val="nil"/>
                    <w:tr2bl w:val="nil"/>
                  </w:tcBorders>
                  <w:vAlign w:val="center"/>
                </w:tcPr>
                <w:p w14:paraId="32300961">
                  <w:pPr>
                    <w:pStyle w:val="76"/>
                    <w:rPr>
                      <w:rFonts w:hint="default"/>
                      <w:sz w:val="21"/>
                      <w:szCs w:val="21"/>
                      <w:lang w:val="en-US" w:eastAsia="zh-CN"/>
                    </w:rPr>
                  </w:pPr>
                  <w:r>
                    <w:rPr>
                      <w:rFonts w:hint="eastAsia"/>
                      <w:sz w:val="21"/>
                      <w:szCs w:val="21"/>
                      <w:lang w:val="en-US" w:eastAsia="zh-CN"/>
                    </w:rPr>
                    <w:t>1.75</w:t>
                  </w:r>
                </w:p>
              </w:tc>
              <w:tc>
                <w:tcPr>
                  <w:tcW w:w="679" w:type="pct"/>
                  <w:tcBorders>
                    <w:tl2br w:val="nil"/>
                    <w:tr2bl w:val="nil"/>
                  </w:tcBorders>
                  <w:vAlign w:val="center"/>
                </w:tcPr>
                <w:p w14:paraId="1585DF53">
                  <w:pPr>
                    <w:pStyle w:val="76"/>
                    <w:rPr>
                      <w:sz w:val="21"/>
                      <w:szCs w:val="21"/>
                    </w:rPr>
                  </w:pPr>
                  <w:r>
                    <w:rPr>
                      <w:rFonts w:hint="eastAsia"/>
                      <w:sz w:val="21"/>
                      <w:szCs w:val="21"/>
                    </w:rPr>
                    <w:t>1</w:t>
                  </w:r>
                </w:p>
              </w:tc>
              <w:tc>
                <w:tcPr>
                  <w:tcW w:w="575" w:type="pct"/>
                  <w:tcBorders>
                    <w:tl2br w:val="nil"/>
                    <w:tr2bl w:val="nil"/>
                  </w:tcBorders>
                  <w:vAlign w:val="center"/>
                </w:tcPr>
                <w:p w14:paraId="7FD6E88E">
                  <w:pPr>
                    <w:pStyle w:val="76"/>
                    <w:rPr>
                      <w:sz w:val="21"/>
                      <w:szCs w:val="21"/>
                    </w:rPr>
                  </w:pPr>
                  <w:r>
                    <w:rPr>
                      <w:rFonts w:hint="eastAsia"/>
                      <w:sz w:val="21"/>
                      <w:szCs w:val="21"/>
                    </w:rPr>
                    <w:t>1</w:t>
                  </w:r>
                </w:p>
              </w:tc>
              <w:tc>
                <w:tcPr>
                  <w:tcW w:w="752" w:type="pct"/>
                  <w:tcBorders>
                    <w:tl2br w:val="nil"/>
                    <w:tr2bl w:val="nil"/>
                  </w:tcBorders>
                  <w:vAlign w:val="center"/>
                </w:tcPr>
                <w:p w14:paraId="7BE0A65D">
                  <w:pPr>
                    <w:pStyle w:val="76"/>
                    <w:rPr>
                      <w:sz w:val="21"/>
                      <w:szCs w:val="21"/>
                    </w:rPr>
                  </w:pPr>
                  <w:r>
                    <w:rPr>
                      <w:sz w:val="21"/>
                      <w:szCs w:val="21"/>
                    </w:rPr>
                    <w:t>停止生产，更换检修除尘器</w:t>
                  </w:r>
                </w:p>
              </w:tc>
            </w:tr>
          </w:tbl>
          <w:p w14:paraId="014641A2">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textAlignment w:val="auto"/>
              <w:rPr>
                <w:rFonts w:hint="eastAsia"/>
                <w:sz w:val="21"/>
                <w:szCs w:val="21"/>
              </w:rPr>
            </w:pPr>
            <w:r>
              <w:rPr>
                <w:rFonts w:hint="eastAsia"/>
                <w:sz w:val="21"/>
                <w:szCs w:val="21"/>
              </w:rPr>
              <w:t>由上表可知</w:t>
            </w:r>
            <w:r>
              <w:rPr>
                <w:rFonts w:hint="eastAsia"/>
                <w:sz w:val="21"/>
                <w:szCs w:val="21"/>
                <w:lang w:eastAsia="zh-CN"/>
              </w:rPr>
              <w:t>“</w:t>
            </w:r>
            <w:r>
              <w:rPr>
                <w:rFonts w:hint="eastAsia"/>
                <w:sz w:val="21"/>
                <w:szCs w:val="21"/>
              </w:rPr>
              <w:t>布袋除尘器</w:t>
            </w:r>
            <w:r>
              <w:rPr>
                <w:rFonts w:hint="eastAsia"/>
                <w:sz w:val="21"/>
                <w:szCs w:val="21"/>
                <w:lang w:eastAsia="zh-CN"/>
              </w:rPr>
              <w:t>”</w:t>
            </w:r>
            <w:r>
              <w:rPr>
                <w:rFonts w:hint="eastAsia"/>
                <w:sz w:val="21"/>
                <w:szCs w:val="21"/>
              </w:rPr>
              <w:t>和</w:t>
            </w:r>
            <w:r>
              <w:rPr>
                <w:rFonts w:hint="eastAsia"/>
                <w:sz w:val="21"/>
                <w:szCs w:val="21"/>
                <w:lang w:eastAsia="zh-CN"/>
              </w:rPr>
              <w:t>“</w:t>
            </w:r>
            <w:r>
              <w:rPr>
                <w:rFonts w:hint="eastAsia"/>
                <w:sz w:val="21"/>
                <w:szCs w:val="21"/>
                <w:lang w:val="en-US" w:eastAsia="zh-CN"/>
              </w:rPr>
              <w:t>催化燃烧器</w:t>
            </w:r>
            <w:r>
              <w:rPr>
                <w:rFonts w:hint="eastAsia"/>
                <w:sz w:val="21"/>
                <w:szCs w:val="21"/>
                <w:lang w:eastAsia="zh-CN"/>
              </w:rPr>
              <w:t>”</w:t>
            </w:r>
            <w:r>
              <w:rPr>
                <w:rFonts w:hint="eastAsia"/>
                <w:sz w:val="21"/>
                <w:szCs w:val="21"/>
              </w:rPr>
              <w:t>失效情况下会导致颗粒物及非甲烷总烃污染物排放量骤然增加，加重周边环境污染，参考同类企业运行情况，非正常工况出现的概率极低，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CF88BA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sz w:val="21"/>
                <w:szCs w:val="21"/>
              </w:rPr>
            </w:pPr>
            <w:r>
              <w:rPr>
                <w:rFonts w:hint="eastAsia"/>
                <w:sz w:val="21"/>
                <w:szCs w:val="21"/>
              </w:rPr>
              <w:t>①安排专人负责环保设备的日常维护和管理，</w:t>
            </w:r>
            <w:r>
              <w:rPr>
                <w:rFonts w:hint="eastAsia"/>
                <w:sz w:val="21"/>
                <w:szCs w:val="21"/>
                <w:lang w:eastAsia="zh-CN"/>
              </w:rPr>
              <w:t>每隔</w:t>
            </w:r>
            <w:r>
              <w:rPr>
                <w:rFonts w:hint="eastAsia"/>
                <w:sz w:val="21"/>
                <w:szCs w:val="21"/>
              </w:rPr>
              <w:t>固定时间检查、汇报情况，及时发现废气处理设备的隐患，确保废气处理系统正常运行；</w:t>
            </w:r>
          </w:p>
          <w:p w14:paraId="5477400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sz w:val="21"/>
                <w:szCs w:val="21"/>
              </w:rPr>
            </w:pPr>
            <w:r>
              <w:rPr>
                <w:rFonts w:hint="eastAsia"/>
                <w:sz w:val="21"/>
                <w:szCs w:val="21"/>
              </w:rPr>
              <w:t>②</w:t>
            </w:r>
            <w:r>
              <w:rPr>
                <w:rFonts w:hint="eastAsia"/>
                <w:sz w:val="21"/>
                <w:szCs w:val="21"/>
                <w:lang w:val="en-US" w:eastAsia="zh-CN"/>
              </w:rPr>
              <w:t>运营过程中活性炭每3个月换一次，催化剂每6个月换一次，布袋除尘器的布袋每6个月换一次</w:t>
            </w:r>
            <w:r>
              <w:rPr>
                <w:rFonts w:hint="eastAsia"/>
                <w:sz w:val="21"/>
                <w:szCs w:val="21"/>
              </w:rPr>
              <w:t>；</w:t>
            </w:r>
          </w:p>
          <w:p w14:paraId="097E14B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sz w:val="21"/>
                <w:szCs w:val="21"/>
              </w:rPr>
            </w:pPr>
            <w:r>
              <w:rPr>
                <w:rFonts w:hint="eastAsia"/>
                <w:sz w:val="21"/>
                <w:szCs w:val="21"/>
              </w:rPr>
              <w:t>③建立健全的环保管理机构，对环保管理人员和技术人员进行岗位培训；</w:t>
            </w:r>
          </w:p>
          <w:p w14:paraId="0477B5C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sz w:val="21"/>
                <w:szCs w:val="21"/>
              </w:rPr>
            </w:pPr>
            <w:r>
              <w:rPr>
                <w:rFonts w:hint="eastAsia"/>
                <w:sz w:val="21"/>
                <w:szCs w:val="21"/>
              </w:rPr>
              <w:t>④应定期维护、检修除尘器，以保持除尘器的正常运行。</w:t>
            </w:r>
          </w:p>
          <w:p w14:paraId="7BDB9E3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sz w:val="21"/>
                <w:szCs w:val="21"/>
              </w:rPr>
            </w:pPr>
            <w:r>
              <w:rPr>
                <w:rFonts w:hint="eastAsia"/>
                <w:sz w:val="21"/>
                <w:szCs w:val="21"/>
                <w:lang w:val="en-US" w:eastAsia="zh-CN"/>
              </w:rPr>
              <w:t>3</w:t>
            </w:r>
            <w:r>
              <w:rPr>
                <w:rFonts w:hint="eastAsia"/>
                <w:sz w:val="21"/>
                <w:szCs w:val="21"/>
              </w:rPr>
              <w:t>措施可行性分析</w:t>
            </w:r>
          </w:p>
          <w:p w14:paraId="04C874D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颗粒物治理措施</w:t>
            </w:r>
          </w:p>
          <w:p w14:paraId="6EFC233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sz w:val="21"/>
                <w:szCs w:val="21"/>
              </w:rPr>
            </w:pPr>
            <w:r>
              <w:rPr>
                <w:rFonts w:hint="eastAsia"/>
                <w:sz w:val="21"/>
                <w:szCs w:val="21"/>
              </w:rPr>
              <w:t>参照《排污许可证申请与核发技术规范</w:t>
            </w:r>
            <w:r>
              <w:rPr>
                <w:rFonts w:hint="eastAsia"/>
                <w:sz w:val="21"/>
                <w:szCs w:val="21"/>
                <w:lang w:val="en-US" w:eastAsia="zh-CN"/>
              </w:rPr>
              <w:t xml:space="preserve"> </w:t>
            </w:r>
            <w:r>
              <w:rPr>
                <w:rFonts w:hint="eastAsia"/>
                <w:sz w:val="21"/>
                <w:szCs w:val="21"/>
              </w:rPr>
              <w:t>橡胶和塑料制品工业》（HJ 1122）中，表</w:t>
            </w:r>
            <w:r>
              <w:rPr>
                <w:rFonts w:hint="eastAsia"/>
                <w:sz w:val="21"/>
                <w:szCs w:val="21"/>
                <w:lang w:val="en-US" w:eastAsia="zh-CN"/>
              </w:rPr>
              <w:t>A.2，</w:t>
            </w:r>
            <w:r>
              <w:rPr>
                <w:rFonts w:hint="eastAsia"/>
                <w:sz w:val="21"/>
                <w:szCs w:val="21"/>
                <w:lang w:eastAsia="zh-CN"/>
              </w:rPr>
              <w:t>“</w:t>
            </w:r>
            <w:r>
              <w:rPr>
                <w:rFonts w:hint="eastAsia"/>
                <w:sz w:val="21"/>
                <w:szCs w:val="21"/>
              </w:rPr>
              <w:t>塑料板、管、型材制造</w:t>
            </w:r>
            <w:r>
              <w:rPr>
                <w:rFonts w:hint="eastAsia"/>
                <w:sz w:val="21"/>
                <w:szCs w:val="21"/>
                <w:lang w:val="en-US" w:eastAsia="zh-CN"/>
              </w:rPr>
              <w:t>产生的</w:t>
            </w:r>
            <w:r>
              <w:rPr>
                <w:rFonts w:hint="eastAsia"/>
                <w:sz w:val="21"/>
                <w:szCs w:val="21"/>
              </w:rPr>
              <w:t>颗粒物，其可行技术为袋式除尘等技术</w:t>
            </w:r>
            <w:r>
              <w:rPr>
                <w:rFonts w:hint="eastAsia"/>
                <w:sz w:val="21"/>
                <w:szCs w:val="21"/>
                <w:lang w:val="en-US" w:eastAsia="zh-CN"/>
              </w:rPr>
              <w:t>等</w:t>
            </w:r>
            <w:r>
              <w:rPr>
                <w:rFonts w:hint="eastAsia"/>
                <w:sz w:val="21"/>
                <w:szCs w:val="21"/>
                <w:lang w:eastAsia="zh-CN"/>
              </w:rPr>
              <w:t>”</w:t>
            </w:r>
            <w:r>
              <w:rPr>
                <w:rFonts w:hint="eastAsia"/>
                <w:sz w:val="21"/>
                <w:szCs w:val="21"/>
              </w:rPr>
              <w:t>。因此本项目使用袋式除尘器是可行的。</w:t>
            </w:r>
          </w:p>
          <w:p w14:paraId="3C614D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（2）非甲烷总烃治理措施</w:t>
            </w:r>
          </w:p>
          <w:p w14:paraId="4C0884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rPr>
              <w:t>参照《排污许可证申请与核发技术规范</w:t>
            </w:r>
            <w:r>
              <w:rPr>
                <w:rFonts w:hint="eastAsia"/>
                <w:sz w:val="21"/>
                <w:szCs w:val="21"/>
                <w:lang w:val="en-US" w:eastAsia="zh-CN"/>
              </w:rPr>
              <w:t xml:space="preserve"> </w:t>
            </w:r>
            <w:r>
              <w:rPr>
                <w:rFonts w:hint="eastAsia"/>
                <w:sz w:val="21"/>
                <w:szCs w:val="21"/>
              </w:rPr>
              <w:t>橡胶和塑料制品工业》（HJ 1122）中，表</w:t>
            </w:r>
            <w:r>
              <w:rPr>
                <w:rFonts w:hint="eastAsia"/>
                <w:sz w:val="21"/>
                <w:szCs w:val="21"/>
                <w:lang w:val="en-US" w:eastAsia="zh-CN"/>
              </w:rPr>
              <w:t>A.2，“</w:t>
            </w:r>
            <w:r>
              <w:rPr>
                <w:rFonts w:hint="eastAsia"/>
                <w:sz w:val="21"/>
                <w:szCs w:val="21"/>
              </w:rPr>
              <w:t>塑料板、管、型材制造</w:t>
            </w:r>
            <w:r>
              <w:rPr>
                <w:rFonts w:hint="eastAsia"/>
                <w:sz w:val="21"/>
                <w:szCs w:val="21"/>
                <w:lang w:val="en-US" w:eastAsia="zh-CN"/>
              </w:rPr>
              <w:t>产生的非甲烷总烃推荐</w:t>
            </w:r>
            <w:r>
              <w:rPr>
                <w:rFonts w:hint="eastAsia"/>
                <w:sz w:val="21"/>
                <w:szCs w:val="21"/>
              </w:rPr>
              <w:t>污染防治设施名称及工艺</w:t>
            </w:r>
            <w:r>
              <w:rPr>
                <w:rFonts w:hint="eastAsia"/>
                <w:sz w:val="21"/>
                <w:szCs w:val="21"/>
                <w:lang w:val="en-US" w:eastAsia="zh-CN"/>
              </w:rPr>
              <w:t>为</w:t>
            </w:r>
            <w:r>
              <w:rPr>
                <w:rFonts w:hint="eastAsia"/>
                <w:sz w:val="21"/>
                <w:szCs w:val="21"/>
              </w:rPr>
              <w:t>除尘、喷淋、吸附、热力燃烧、催化燃烧、低温等离子体、UV光氧化/光催化、生物法、以上组合技术</w:t>
            </w:r>
            <w:r>
              <w:rPr>
                <w:rFonts w:hint="eastAsia"/>
                <w:sz w:val="21"/>
                <w:szCs w:val="21"/>
                <w:lang w:val="en-US" w:eastAsia="zh-CN"/>
              </w:rPr>
              <w:t>”，因此本项目使用活性炭吸附脱附+</w:t>
            </w:r>
            <w:r>
              <w:rPr>
                <w:rFonts w:hint="eastAsia"/>
                <w:sz w:val="21"/>
                <w:szCs w:val="21"/>
              </w:rPr>
              <w:t>催化燃烧</w:t>
            </w:r>
            <w:r>
              <w:rPr>
                <w:rFonts w:hint="eastAsia"/>
                <w:sz w:val="21"/>
                <w:szCs w:val="21"/>
                <w:lang w:val="en-US" w:eastAsia="zh-CN"/>
              </w:rPr>
              <w:t>器处理有机废气是</w:t>
            </w:r>
            <w:r>
              <w:rPr>
                <w:rFonts w:hint="eastAsia"/>
                <w:sz w:val="21"/>
                <w:szCs w:val="21"/>
              </w:rPr>
              <w:t>可行的。</w:t>
            </w:r>
            <w:r>
              <w:rPr>
                <w:rFonts w:hint="eastAsia"/>
                <w:sz w:val="21"/>
                <w:szCs w:val="21"/>
                <w:lang w:val="en-US" w:eastAsia="zh-CN"/>
              </w:rPr>
              <w:t>活性炭吸附脱附+</w:t>
            </w:r>
            <w:r>
              <w:rPr>
                <w:rFonts w:hint="eastAsia"/>
                <w:sz w:val="21"/>
                <w:szCs w:val="21"/>
              </w:rPr>
              <w:t>催化燃烧</w:t>
            </w:r>
            <w:r>
              <w:rPr>
                <w:rFonts w:hint="eastAsia"/>
                <w:sz w:val="21"/>
                <w:szCs w:val="21"/>
                <w:lang w:val="en-US" w:eastAsia="zh-CN"/>
              </w:rPr>
              <w:t>器处理工艺如下：</w:t>
            </w:r>
          </w:p>
          <w:p w14:paraId="1FEF5E65">
            <w:pPr>
              <w:keepNext w:val="0"/>
              <w:keepLines w:val="0"/>
              <w:widowControl w:val="0"/>
              <w:suppressLineNumbers w:val="0"/>
              <w:shd w:val="clear" w:color="auto" w:fill="auto"/>
              <w:autoSpaceDE w:val="0"/>
              <w:autoSpaceDN/>
              <w:spacing w:before="0" w:beforeAutospacing="0" w:after="0" w:afterAutospacing="0" w:line="360" w:lineRule="auto"/>
              <w:ind w:right="0"/>
              <w:jc w:val="center"/>
              <w:rPr>
                <w:rFonts w:hint="default"/>
                <w:sz w:val="21"/>
                <w:szCs w:val="21"/>
                <w:lang w:val="en-US" w:eastAsia="zh-CN"/>
              </w:rPr>
            </w:pPr>
            <w:r>
              <w:rPr>
                <w:rFonts w:hint="default"/>
                <w:sz w:val="21"/>
                <w:szCs w:val="21"/>
                <w:lang w:val="en-US" w:eastAsia="zh-CN"/>
              </w:rPr>
              <w:drawing>
                <wp:inline distT="0" distB="0" distL="114300" distR="114300">
                  <wp:extent cx="3910965" cy="2209800"/>
                  <wp:effectExtent l="9525" t="9525" r="22860" b="9525"/>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20"/>
                          <a:srcRect t="2547"/>
                          <a:stretch>
                            <a:fillRect/>
                          </a:stretch>
                        </pic:blipFill>
                        <pic:spPr>
                          <a:xfrm>
                            <a:off x="0" y="0"/>
                            <a:ext cx="3910965" cy="22098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A0C1A2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 xml:space="preserve">图4-1   </w:t>
            </w:r>
            <w:r>
              <w:rPr>
                <w:rFonts w:hint="default"/>
                <w:sz w:val="21"/>
                <w:szCs w:val="21"/>
                <w:lang w:val="en-US" w:eastAsia="zh-CN"/>
              </w:rPr>
              <w:t>活性炭吸附脱附+催化燃烧工艺示意图</w:t>
            </w:r>
          </w:p>
          <w:p w14:paraId="79885ED5">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具体工艺流程如下：</w:t>
            </w:r>
          </w:p>
          <w:p w14:paraId="6A5F849A">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①吸附</w:t>
            </w:r>
          </w:p>
          <w:p w14:paraId="164689A8">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集气罩收集的废气，经过合理的布风，使其均匀地通过固定吸附床内的蜂窝活性炭层的过流断面，在一定的停留时间，由于活性炭表面与有机废气分子间相互引力的作用产生。物理吸附，从而将废气中的有机成份吸附在活性炭的表面积，从而使废气得到净化，净化后的洁净气体通过风机及烟囱达标排放；系统设两台吸附床，即废气从其中一台吸附床经过，另一台处于脱附再生阶段或备用阶段，从而使吸附过程可连续进行，不影响车间生产。</w:t>
            </w:r>
          </w:p>
          <w:p w14:paraId="6B3E3085">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②脱附--催化燃烧</w:t>
            </w:r>
          </w:p>
          <w:p w14:paraId="0B56AA1D">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反应方程式如下：贵金属催化剂200～300℃</w:t>
            </w:r>
          </w:p>
          <w:p w14:paraId="2D72F82F">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CxHyOz+</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x+y/4-z/2</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O2xCO</w:t>
            </w:r>
            <w:r>
              <w:rPr>
                <w:rFonts w:hint="default" w:ascii="Times New Roman" w:hAnsi="Times New Roman" w:eastAsia="宋体"/>
                <w:b w:val="0"/>
                <w:bCs w:val="0"/>
                <w:sz w:val="21"/>
                <w:szCs w:val="21"/>
                <w:vertAlign w:val="subscript"/>
                <w:lang w:val="en-US" w:eastAsia="zh-CN"/>
              </w:rPr>
              <w:t>2</w:t>
            </w:r>
            <w:r>
              <w:rPr>
                <w:rFonts w:hint="default" w:ascii="Times New Roman" w:hAnsi="Times New Roman" w:eastAsia="宋体"/>
                <w:b w:val="0"/>
                <w:bCs w:val="0"/>
                <w:sz w:val="21"/>
                <w:szCs w:val="21"/>
                <w:lang w:val="en-US" w:eastAsia="zh-CN"/>
              </w:rPr>
              <w:t>+y/2H</w:t>
            </w:r>
            <w:r>
              <w:rPr>
                <w:rFonts w:hint="default" w:ascii="Times New Roman" w:hAnsi="Times New Roman" w:eastAsia="宋体"/>
                <w:b w:val="0"/>
                <w:bCs w:val="0"/>
                <w:sz w:val="21"/>
                <w:szCs w:val="21"/>
                <w:vertAlign w:val="subscript"/>
                <w:lang w:val="en-US" w:eastAsia="zh-CN"/>
              </w:rPr>
              <w:t>2</w:t>
            </w:r>
            <w:r>
              <w:rPr>
                <w:rFonts w:hint="default" w:ascii="Times New Roman" w:hAnsi="Times New Roman" w:eastAsia="宋体"/>
                <w:b w:val="0"/>
                <w:bCs w:val="0"/>
                <w:sz w:val="21"/>
                <w:szCs w:val="21"/>
                <w:lang w:val="en-US" w:eastAsia="zh-CN"/>
              </w:rPr>
              <w:t>O</w:t>
            </w:r>
          </w:p>
          <w:p w14:paraId="5133A52D">
            <w:pPr>
              <w:pStyle w:val="114"/>
              <w:bidi w:val="0"/>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达到饱和状态的吸附床应停止吸附，通过阀门切换进入脱附状态，过程如下：启动脱附风机、开启相应阀门和远红外电加热器，对催化燃烧床内部的催化剂进行预热，同时产生一定量的热空气，当床层温度达到设定值时将热空气送入吸附床，活性炭受热解吸出高浓度的有机气体，经脱附风机引入催化燃烧床，在贵金属催化剂的作用下于一个较低的温度进行无焰催化燃烧，将有机成分转化为无毒、无害的CO2和H2O，同时释放出大量的热量，可维持催化燃烧所需的起燃温度，使废气燃烧过程基本不需外加的能耗（电能），并将部分热量回用于吸附床内活性炭的解吸再生，从而大大降低了能耗。净化系统催化燃烧床内，有远红外电加热器多组，预热时远红外电加热器全部开启，可实现在较短时间内将废气从室温加热到既定温度；而在稳定燃烧阶段，由于燃烧过程发出大量能量，电加热器只需开启一小部分或无需开启，从而达到节能降耗的控制目标。当燃烧废气浓度较高、反应温度较高时，混流风机自动开启，补充新鲜的冷空气以降低温度、确保催化燃烧床安全、高效运行。</w:t>
            </w:r>
          </w:p>
          <w:p w14:paraId="6EA3A6F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4</w:t>
            </w:r>
            <w:r>
              <w:rPr>
                <w:rFonts w:ascii="Times New Roman" w:hAnsi="Times New Roman" w:eastAsia="宋体"/>
                <w:b w:val="0"/>
                <w:bCs w:val="0"/>
                <w:sz w:val="21"/>
                <w:szCs w:val="21"/>
              </w:rPr>
              <w:t>监测要求</w:t>
            </w:r>
          </w:p>
          <w:p w14:paraId="33146F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根据《固定污染源排污许可分类管理名录》（2019版），本项目属于简化管理排放单位，根据《排污单位自行监测技术指南 总则》</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HJ 819-2017</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和</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fldChar w:fldCharType="begin"/>
            </w:r>
            <w:r>
              <w:rPr>
                <w:rFonts w:hint="default" w:ascii="Times New Roman" w:hAnsi="Times New Roman" w:eastAsia="宋体"/>
                <w:b w:val="0"/>
                <w:bCs w:val="0"/>
                <w:sz w:val="21"/>
                <w:szCs w:val="21"/>
                <w:lang w:val="en-US" w:eastAsia="zh-CN"/>
              </w:rPr>
              <w:instrText xml:space="preserve"> HYPERLINK "https://www.mee.gov.cn/ywgz/fgbz/bz/bzwb/jcffbz/202112/W020211206547863741730.pdf" </w:instrText>
            </w:r>
            <w:r>
              <w:rPr>
                <w:rFonts w:hint="default" w:ascii="Times New Roman" w:hAnsi="Times New Roman" w:eastAsia="宋体"/>
                <w:b w:val="0"/>
                <w:bCs w:val="0"/>
                <w:sz w:val="21"/>
                <w:szCs w:val="21"/>
                <w:lang w:val="en-US" w:eastAsia="zh-CN"/>
              </w:rPr>
              <w:fldChar w:fldCharType="separate"/>
            </w:r>
            <w:r>
              <w:rPr>
                <w:rFonts w:hint="eastAsia" w:ascii="Times New Roman" w:hAnsi="Times New Roman" w:eastAsia="宋体"/>
                <w:b w:val="0"/>
                <w:bCs w:val="0"/>
                <w:sz w:val="21"/>
                <w:szCs w:val="21"/>
                <w:lang w:val="en-US" w:eastAsia="zh-CN"/>
              </w:rPr>
              <w:t>排污单位自行监测技术指南 橡胶和塑料制品》（HJ 1207—2021）</w:t>
            </w:r>
            <w:r>
              <w:rPr>
                <w:rFonts w:hint="eastAsia" w:ascii="Times New Roman" w:hAnsi="Times New Roman" w:eastAsia="宋体"/>
                <w:b w:val="0"/>
                <w:bCs w:val="0"/>
                <w:sz w:val="21"/>
                <w:szCs w:val="21"/>
                <w:lang w:val="en-US" w:eastAsia="zh-CN"/>
              </w:rPr>
              <w:fldChar w:fldCharType="end"/>
            </w:r>
            <w:r>
              <w:rPr>
                <w:rFonts w:hint="default" w:ascii="Times New Roman" w:hAnsi="Times New Roman" w:eastAsia="宋体"/>
                <w:b w:val="0"/>
                <w:bCs w:val="0"/>
                <w:sz w:val="21"/>
                <w:szCs w:val="21"/>
                <w:lang w:val="en-US" w:eastAsia="zh-CN"/>
              </w:rPr>
              <w:t>，本项目废气监测计划见表4-</w:t>
            </w:r>
            <w:r>
              <w:rPr>
                <w:rFonts w:hint="eastAsia" w:ascii="Times New Roman" w:hAnsi="Times New Roman" w:eastAsia="宋体"/>
                <w:b w:val="0"/>
                <w:bCs w:val="0"/>
                <w:sz w:val="21"/>
                <w:szCs w:val="21"/>
                <w:lang w:val="en-US" w:eastAsia="zh-CN"/>
              </w:rPr>
              <w:t>4</w:t>
            </w:r>
            <w:r>
              <w:rPr>
                <w:rFonts w:hint="default" w:ascii="Times New Roman" w:hAnsi="Times New Roman" w:eastAsia="宋体"/>
                <w:b w:val="0"/>
                <w:bCs w:val="0"/>
                <w:sz w:val="21"/>
                <w:szCs w:val="21"/>
                <w:lang w:val="en-US" w:eastAsia="zh-CN"/>
              </w:rPr>
              <w:t>。</w:t>
            </w:r>
          </w:p>
          <w:p w14:paraId="197F8E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sz w:val="21"/>
                <w:szCs w:val="21"/>
                <w:lang w:val="en-GB" w:eastAsia="zh-CN"/>
              </w:rPr>
            </w:pPr>
            <w:r>
              <w:rPr>
                <w:rFonts w:hint="eastAsia" w:ascii="黑体" w:hAnsi="黑体" w:eastAsia="黑体" w:cs="黑体"/>
                <w:b w:val="0"/>
                <w:bCs w:val="0"/>
                <w:sz w:val="21"/>
                <w:szCs w:val="21"/>
                <w:lang w:val="en-GB" w:eastAsia="zh-CN"/>
              </w:rPr>
              <w:t>表</w:t>
            </w:r>
            <w:r>
              <w:rPr>
                <w:rFonts w:hint="eastAsia" w:ascii="黑体" w:hAnsi="黑体" w:eastAsia="黑体" w:cs="黑体"/>
                <w:b w:val="0"/>
                <w:bCs w:val="0"/>
                <w:sz w:val="21"/>
                <w:szCs w:val="21"/>
                <w:lang w:val="en-US" w:eastAsia="zh-CN"/>
              </w:rPr>
              <w:t>4-4</w:t>
            </w:r>
            <w:r>
              <w:rPr>
                <w:rFonts w:hint="eastAsia" w:ascii="黑体" w:hAnsi="黑体" w:eastAsia="黑体" w:cs="黑体"/>
                <w:b w:val="0"/>
                <w:bCs w:val="0"/>
                <w:sz w:val="21"/>
                <w:szCs w:val="21"/>
                <w:lang w:val="en-GB" w:eastAsia="zh-CN"/>
              </w:rPr>
              <w:t xml:space="preserve">   废气监测计划一览表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916"/>
              <w:gridCol w:w="1186"/>
              <w:gridCol w:w="1310"/>
              <w:gridCol w:w="3332"/>
            </w:tblGrid>
            <w:tr w14:paraId="613C4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8" w:type="pct"/>
                  <w:tcBorders>
                    <w:tl2br w:val="nil"/>
                    <w:tr2bl w:val="nil"/>
                  </w:tcBorders>
                  <w:noWrap w:val="0"/>
                  <w:vAlign w:val="center"/>
                </w:tcPr>
                <w:p w14:paraId="34C28253">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监测位置</w:t>
                  </w:r>
                </w:p>
              </w:tc>
              <w:tc>
                <w:tcPr>
                  <w:tcW w:w="539" w:type="pct"/>
                  <w:tcBorders>
                    <w:tl2br w:val="nil"/>
                    <w:tr2bl w:val="nil"/>
                  </w:tcBorders>
                  <w:noWrap w:val="0"/>
                  <w:vAlign w:val="center"/>
                </w:tcPr>
                <w:p w14:paraId="574E8641">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监测对象</w:t>
                  </w:r>
                </w:p>
              </w:tc>
              <w:tc>
                <w:tcPr>
                  <w:tcW w:w="698" w:type="pct"/>
                  <w:tcBorders>
                    <w:tl2br w:val="nil"/>
                    <w:tr2bl w:val="nil"/>
                  </w:tcBorders>
                  <w:noWrap w:val="0"/>
                  <w:vAlign w:val="center"/>
                </w:tcPr>
                <w:p w14:paraId="71CE5239">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监测因子</w:t>
                  </w:r>
                </w:p>
              </w:tc>
              <w:tc>
                <w:tcPr>
                  <w:tcW w:w="771" w:type="pct"/>
                  <w:tcBorders>
                    <w:tl2br w:val="nil"/>
                    <w:tr2bl w:val="nil"/>
                  </w:tcBorders>
                  <w:noWrap w:val="0"/>
                  <w:vAlign w:val="center"/>
                </w:tcPr>
                <w:p w14:paraId="3035D8F1">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监测频次</w:t>
                  </w:r>
                </w:p>
              </w:tc>
              <w:tc>
                <w:tcPr>
                  <w:tcW w:w="1961" w:type="pct"/>
                  <w:tcBorders>
                    <w:tl2br w:val="nil"/>
                    <w:tr2bl w:val="nil"/>
                  </w:tcBorders>
                  <w:noWrap w:val="0"/>
                  <w:vAlign w:val="center"/>
                </w:tcPr>
                <w:p w14:paraId="74DBC4B8">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执行标准</w:t>
                  </w:r>
                </w:p>
              </w:tc>
            </w:tr>
            <w:tr w14:paraId="374EB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28" w:type="pct"/>
                  <w:tcBorders>
                    <w:tl2br w:val="nil"/>
                    <w:tr2bl w:val="nil"/>
                  </w:tcBorders>
                  <w:noWrap w:val="0"/>
                  <w:vAlign w:val="center"/>
                </w:tcPr>
                <w:p w14:paraId="05F1240B">
                  <w:pPr>
                    <w:pStyle w:val="4"/>
                    <w:pageBreakBefore w:val="0"/>
                    <w:widowControl w:val="0"/>
                    <w:numPr>
                      <w:ilvl w:val="2"/>
                      <w:numId w:val="0"/>
                    </w:numPr>
                    <w:tabs>
                      <w:tab w:val="left" w:pos="851"/>
                    </w:tabs>
                    <w:kinsoku/>
                    <w:wordWrap/>
                    <w:overflowPunct/>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b w:val="0"/>
                      <w:bCs w:val="0"/>
                      <w:sz w:val="21"/>
                      <w:szCs w:val="21"/>
                    </w:rPr>
                  </w:pPr>
                  <w:r>
                    <w:rPr>
                      <w:rFonts w:ascii="Times New Roman" w:hAnsi="Times New Roman" w:eastAsia="宋体"/>
                      <w:b w:val="0"/>
                      <w:bCs w:val="0"/>
                      <w:sz w:val="21"/>
                      <w:szCs w:val="21"/>
                    </w:rPr>
                    <w:t>DA00</w:t>
                  </w:r>
                  <w:r>
                    <w:rPr>
                      <w:rFonts w:hint="eastAsia" w:ascii="Times New Roman" w:hAnsi="Times New Roman" w:eastAsia="宋体"/>
                      <w:b w:val="0"/>
                      <w:bCs w:val="0"/>
                      <w:sz w:val="21"/>
                      <w:szCs w:val="21"/>
                      <w:lang w:val="en-US" w:eastAsia="zh-CN"/>
                    </w:rPr>
                    <w:t>1</w:t>
                  </w:r>
                </w:p>
              </w:tc>
              <w:tc>
                <w:tcPr>
                  <w:tcW w:w="539" w:type="pct"/>
                  <w:tcBorders>
                    <w:tl2br w:val="nil"/>
                    <w:tr2bl w:val="nil"/>
                  </w:tcBorders>
                  <w:noWrap w:val="0"/>
                  <w:vAlign w:val="center"/>
                </w:tcPr>
                <w:p w14:paraId="066654BD">
                  <w:pPr>
                    <w:pStyle w:val="4"/>
                    <w:pageBreakBefore w:val="0"/>
                    <w:widowControl w:val="0"/>
                    <w:numPr>
                      <w:ilvl w:val="2"/>
                      <w:numId w:val="0"/>
                    </w:numPr>
                    <w:tabs>
                      <w:tab w:val="left" w:pos="851"/>
                    </w:tabs>
                    <w:kinsoku/>
                    <w:wordWrap/>
                    <w:overflowPunct/>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b w:val="0"/>
                      <w:bCs w:val="0"/>
                      <w:sz w:val="21"/>
                      <w:szCs w:val="21"/>
                      <w:lang w:eastAsia="zh-CN"/>
                    </w:rPr>
                  </w:pPr>
                  <w:r>
                    <w:rPr>
                      <w:rFonts w:ascii="Times New Roman" w:hAnsi="Times New Roman" w:eastAsia="宋体"/>
                      <w:b w:val="0"/>
                      <w:bCs w:val="0"/>
                      <w:sz w:val="21"/>
                      <w:szCs w:val="21"/>
                    </w:rPr>
                    <w:t>排气筒</w:t>
                  </w:r>
                </w:p>
              </w:tc>
              <w:tc>
                <w:tcPr>
                  <w:tcW w:w="698" w:type="pct"/>
                  <w:tcBorders>
                    <w:tl2br w:val="nil"/>
                    <w:tr2bl w:val="nil"/>
                  </w:tcBorders>
                  <w:noWrap w:val="0"/>
                  <w:vAlign w:val="center"/>
                </w:tcPr>
                <w:p w14:paraId="53151AE7">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颗粒物</w:t>
                  </w:r>
                </w:p>
              </w:tc>
              <w:tc>
                <w:tcPr>
                  <w:tcW w:w="771" w:type="pct"/>
                  <w:tcBorders>
                    <w:tl2br w:val="nil"/>
                    <w:tr2bl w:val="nil"/>
                  </w:tcBorders>
                  <w:noWrap w:val="0"/>
                  <w:vAlign w:val="center"/>
                </w:tcPr>
                <w:p w14:paraId="66DA7C21">
                  <w:pPr>
                    <w:keepNext w:val="0"/>
                    <w:pageBreakBefore w:val="0"/>
                    <w:widowControl w:val="0"/>
                    <w:kinsoku/>
                    <w:wordWrap/>
                    <w:overflow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1次/年</w:t>
                  </w:r>
                </w:p>
              </w:tc>
              <w:tc>
                <w:tcPr>
                  <w:tcW w:w="1961" w:type="pct"/>
                  <w:tcBorders>
                    <w:tl2br w:val="nil"/>
                    <w:tr2bl w:val="nil"/>
                  </w:tcBorders>
                  <w:noWrap w:val="0"/>
                  <w:vAlign w:val="center"/>
                </w:tcPr>
                <w:p w14:paraId="3FE08A60">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《合成树脂工业污染物排放标准》（GB- 31572-2015）及修改单中表五颗粒物特别排放限值</w:t>
                  </w:r>
                  <w:r>
                    <w:rPr>
                      <w:rFonts w:hint="default"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0mg/m³</w:t>
                  </w:r>
                </w:p>
              </w:tc>
            </w:tr>
            <w:tr w14:paraId="7314B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28" w:type="pct"/>
                  <w:tcBorders>
                    <w:tl2br w:val="nil"/>
                    <w:tr2bl w:val="nil"/>
                  </w:tcBorders>
                  <w:noWrap w:val="0"/>
                  <w:vAlign w:val="center"/>
                </w:tcPr>
                <w:p w14:paraId="236D1A60">
                  <w:pPr>
                    <w:pStyle w:val="4"/>
                    <w:pageBreakBefore w:val="0"/>
                    <w:widowControl w:val="0"/>
                    <w:numPr>
                      <w:ilvl w:val="2"/>
                      <w:numId w:val="0"/>
                    </w:numPr>
                    <w:tabs>
                      <w:tab w:val="left" w:pos="851"/>
                    </w:tabs>
                    <w:kinsoku/>
                    <w:wordWrap/>
                    <w:overflowPunct/>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b w:val="0"/>
                      <w:bCs w:val="0"/>
                      <w:sz w:val="21"/>
                      <w:szCs w:val="21"/>
                      <w:lang w:val="en-US" w:eastAsia="zh-CN"/>
                    </w:rPr>
                  </w:pPr>
                  <w:r>
                    <w:rPr>
                      <w:rFonts w:ascii="Times New Roman" w:hAnsi="Times New Roman" w:eastAsia="宋体"/>
                      <w:b w:val="0"/>
                      <w:bCs w:val="0"/>
                      <w:sz w:val="21"/>
                      <w:szCs w:val="21"/>
                    </w:rPr>
                    <w:t>DA00</w:t>
                  </w:r>
                  <w:r>
                    <w:rPr>
                      <w:rFonts w:hint="eastAsia" w:ascii="Times New Roman" w:hAnsi="Times New Roman" w:eastAsia="宋体"/>
                      <w:b w:val="0"/>
                      <w:bCs w:val="0"/>
                      <w:sz w:val="21"/>
                      <w:szCs w:val="21"/>
                      <w:lang w:val="en-US" w:eastAsia="zh-CN"/>
                    </w:rPr>
                    <w:t>2</w:t>
                  </w:r>
                </w:p>
              </w:tc>
              <w:tc>
                <w:tcPr>
                  <w:tcW w:w="539" w:type="pct"/>
                  <w:tcBorders>
                    <w:tl2br w:val="nil"/>
                    <w:tr2bl w:val="nil"/>
                  </w:tcBorders>
                  <w:noWrap w:val="0"/>
                  <w:vAlign w:val="center"/>
                </w:tcPr>
                <w:p w14:paraId="4F78CB87">
                  <w:pPr>
                    <w:pStyle w:val="4"/>
                    <w:pageBreakBefore w:val="0"/>
                    <w:widowControl w:val="0"/>
                    <w:numPr>
                      <w:ilvl w:val="2"/>
                      <w:numId w:val="0"/>
                    </w:numPr>
                    <w:tabs>
                      <w:tab w:val="left" w:pos="851"/>
                    </w:tabs>
                    <w:kinsoku/>
                    <w:wordWrap/>
                    <w:overflowPunct/>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b w:val="0"/>
                      <w:bCs w:val="0"/>
                      <w:sz w:val="21"/>
                      <w:szCs w:val="21"/>
                      <w:lang w:eastAsia="zh-CN"/>
                    </w:rPr>
                  </w:pPr>
                  <w:r>
                    <w:rPr>
                      <w:rFonts w:ascii="Times New Roman" w:hAnsi="Times New Roman" w:eastAsia="宋体"/>
                      <w:b w:val="0"/>
                      <w:bCs w:val="0"/>
                      <w:sz w:val="21"/>
                      <w:szCs w:val="21"/>
                    </w:rPr>
                    <w:t>排气筒</w:t>
                  </w:r>
                </w:p>
              </w:tc>
              <w:tc>
                <w:tcPr>
                  <w:tcW w:w="698" w:type="pct"/>
                  <w:tcBorders>
                    <w:tl2br w:val="nil"/>
                    <w:tr2bl w:val="nil"/>
                  </w:tcBorders>
                  <w:noWrap w:val="0"/>
                  <w:vAlign w:val="center"/>
                </w:tcPr>
                <w:p w14:paraId="1E0CBFED">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非甲烷总烃</w:t>
                  </w:r>
                </w:p>
              </w:tc>
              <w:tc>
                <w:tcPr>
                  <w:tcW w:w="771" w:type="pct"/>
                  <w:tcBorders>
                    <w:tl2br w:val="nil"/>
                    <w:tr2bl w:val="nil"/>
                  </w:tcBorders>
                  <w:noWrap w:val="0"/>
                  <w:vAlign w:val="center"/>
                </w:tcPr>
                <w:p w14:paraId="189665AA">
                  <w:pPr>
                    <w:keepNext w:val="0"/>
                    <w:pageBreakBefore w:val="0"/>
                    <w:widowControl w:val="0"/>
                    <w:kinsoku/>
                    <w:wordWrap/>
                    <w:overflow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1次/</w:t>
                  </w:r>
                  <w:r>
                    <w:rPr>
                      <w:rFonts w:hint="eastAsia" w:ascii="Times New Roman" w:hAnsi="Times New Roman" w:eastAsia="宋体"/>
                      <w:b w:val="0"/>
                      <w:bCs w:val="0"/>
                      <w:sz w:val="21"/>
                      <w:szCs w:val="21"/>
                      <w:lang w:val="en-US" w:eastAsia="zh-CN"/>
                    </w:rPr>
                    <w:t>半</w:t>
                  </w:r>
                  <w:r>
                    <w:rPr>
                      <w:rFonts w:hint="default" w:ascii="Times New Roman" w:hAnsi="Times New Roman" w:eastAsia="宋体"/>
                      <w:b w:val="0"/>
                      <w:bCs w:val="0"/>
                      <w:sz w:val="21"/>
                      <w:szCs w:val="21"/>
                    </w:rPr>
                    <w:t>年</w:t>
                  </w:r>
                </w:p>
              </w:tc>
              <w:tc>
                <w:tcPr>
                  <w:tcW w:w="1961" w:type="pct"/>
                  <w:tcBorders>
                    <w:tl2br w:val="nil"/>
                    <w:tr2bl w:val="nil"/>
                  </w:tcBorders>
                  <w:noWrap w:val="0"/>
                  <w:vAlign w:val="center"/>
                </w:tcPr>
                <w:p w14:paraId="4EF1179F">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《合成树脂工业污染物排放标准》（GB- 31572-2015）及修改单中表五</w:t>
                  </w:r>
                  <w:r>
                    <w:rPr>
                      <w:rFonts w:hint="default" w:ascii="Times New Roman" w:hAnsi="Times New Roman" w:eastAsia="宋体"/>
                      <w:b w:val="0"/>
                      <w:bCs w:val="0"/>
                      <w:sz w:val="21"/>
                      <w:szCs w:val="21"/>
                    </w:rPr>
                    <w:t>非甲烷总烃</w:t>
                  </w:r>
                  <w:r>
                    <w:rPr>
                      <w:rFonts w:hint="eastAsia" w:ascii="Times New Roman" w:hAnsi="Times New Roman" w:eastAsia="宋体"/>
                      <w:b w:val="0"/>
                      <w:bCs w:val="0"/>
                      <w:sz w:val="21"/>
                      <w:szCs w:val="21"/>
                      <w:lang w:val="en-US" w:eastAsia="zh-CN"/>
                    </w:rPr>
                    <w:t>特别排放限值6</w:t>
                  </w:r>
                  <w:r>
                    <w:rPr>
                      <w:rFonts w:hint="default" w:ascii="Times New Roman" w:hAnsi="Times New Roman" w:eastAsia="宋体"/>
                      <w:b w:val="0"/>
                      <w:bCs w:val="0"/>
                      <w:sz w:val="21"/>
                      <w:szCs w:val="21"/>
                    </w:rPr>
                    <w:t>0mg/m³</w:t>
                  </w:r>
                </w:p>
              </w:tc>
            </w:tr>
            <w:tr w14:paraId="44B71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28" w:type="pct"/>
                  <w:tcBorders>
                    <w:tl2br w:val="nil"/>
                    <w:tr2bl w:val="nil"/>
                  </w:tcBorders>
                  <w:noWrap w:val="0"/>
                  <w:vAlign w:val="center"/>
                </w:tcPr>
                <w:p w14:paraId="6B4CB95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rPr>
                    <w:t>在厂房门窗、通风口、或其他排放口外1m，离地1.5m以上位置监测</w:t>
                  </w:r>
                </w:p>
              </w:tc>
              <w:tc>
                <w:tcPr>
                  <w:tcW w:w="539" w:type="pct"/>
                  <w:tcBorders>
                    <w:tl2br w:val="nil"/>
                    <w:tr2bl w:val="nil"/>
                  </w:tcBorders>
                  <w:noWrap w:val="0"/>
                  <w:vAlign w:val="center"/>
                </w:tcPr>
                <w:p w14:paraId="778214D1">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厂区</w:t>
                  </w:r>
                  <w:r>
                    <w:rPr>
                      <w:rFonts w:hint="eastAsia" w:ascii="Times New Roman" w:hAnsi="Times New Roman" w:eastAsia="宋体"/>
                      <w:b w:val="0"/>
                      <w:bCs w:val="0"/>
                      <w:sz w:val="21"/>
                      <w:szCs w:val="21"/>
                      <w:lang w:val="en-US" w:eastAsia="zh-CN"/>
                    </w:rPr>
                    <w:t>内</w:t>
                  </w:r>
                </w:p>
              </w:tc>
              <w:tc>
                <w:tcPr>
                  <w:tcW w:w="698" w:type="pct"/>
                  <w:tcBorders>
                    <w:tl2br w:val="nil"/>
                    <w:tr2bl w:val="nil"/>
                  </w:tcBorders>
                  <w:noWrap w:val="0"/>
                  <w:vAlign w:val="center"/>
                </w:tcPr>
                <w:p w14:paraId="50F8EB64">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非甲烷总烃</w:t>
                  </w:r>
                </w:p>
              </w:tc>
              <w:tc>
                <w:tcPr>
                  <w:tcW w:w="771" w:type="pct"/>
                  <w:tcBorders>
                    <w:tl2br w:val="nil"/>
                    <w:tr2bl w:val="nil"/>
                  </w:tcBorders>
                  <w:noWrap w:val="0"/>
                  <w:vAlign w:val="center"/>
                </w:tcPr>
                <w:p w14:paraId="4E03EF9E">
                  <w:pPr>
                    <w:keepNext w:val="0"/>
                    <w:pageBreakBefore w:val="0"/>
                    <w:widowControl w:val="0"/>
                    <w:kinsoku/>
                    <w:wordWrap/>
                    <w:overflow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1次/年</w:t>
                  </w:r>
                </w:p>
              </w:tc>
              <w:tc>
                <w:tcPr>
                  <w:tcW w:w="1961" w:type="pct"/>
                  <w:tcBorders>
                    <w:tl2br w:val="nil"/>
                    <w:tr2bl w:val="nil"/>
                  </w:tcBorders>
                  <w:noWrap w:val="0"/>
                  <w:vAlign w:val="center"/>
                </w:tcPr>
                <w:p w14:paraId="4049FFB8">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《挥发性有机物无组织排放控制标准》（GB37822—2019）</w:t>
                  </w:r>
                  <w:r>
                    <w:rPr>
                      <w:rFonts w:hint="eastAsia" w:ascii="Times New Roman" w:hAnsi="Times New Roman" w:eastAsia="宋体"/>
                      <w:b w:val="0"/>
                      <w:bCs w:val="0"/>
                      <w:sz w:val="21"/>
                      <w:szCs w:val="21"/>
                      <w:lang w:val="en-US" w:eastAsia="zh-CN"/>
                    </w:rPr>
                    <w:t>特别</w:t>
                  </w:r>
                  <w:r>
                    <w:rPr>
                      <w:rFonts w:hint="default" w:ascii="Times New Roman" w:hAnsi="Times New Roman" w:eastAsia="宋体"/>
                      <w:b w:val="0"/>
                      <w:bCs w:val="0"/>
                      <w:sz w:val="21"/>
                      <w:szCs w:val="21"/>
                      <w:lang w:val="en-US" w:eastAsia="zh-CN"/>
                    </w:rPr>
                    <w:t>排放限值</w:t>
                  </w:r>
                  <w:r>
                    <w:rPr>
                      <w:rFonts w:hint="eastAsia" w:ascii="Times New Roman" w:hAnsi="Times New Roman" w:eastAsia="宋体"/>
                      <w:b w:val="0"/>
                      <w:bCs w:val="0"/>
                      <w:sz w:val="21"/>
                      <w:szCs w:val="21"/>
                      <w:lang w:val="en-US" w:eastAsia="zh-CN"/>
                    </w:rPr>
                    <w:t>6</w:t>
                  </w:r>
                  <w:r>
                    <w:rPr>
                      <w:rFonts w:hint="default" w:ascii="Times New Roman" w:hAnsi="Times New Roman" w:eastAsia="宋体"/>
                      <w:b w:val="0"/>
                      <w:bCs w:val="0"/>
                      <w:sz w:val="21"/>
                      <w:szCs w:val="21"/>
                      <w:lang w:val="en-US" w:eastAsia="zh-CN"/>
                    </w:rPr>
                    <w:t>.0mg/m³</w:t>
                  </w:r>
                </w:p>
              </w:tc>
            </w:tr>
            <w:tr w14:paraId="0A6BF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tcBorders>
                    <w:tl2br w:val="nil"/>
                    <w:tr2bl w:val="nil"/>
                  </w:tcBorders>
                  <w:noWrap w:val="0"/>
                  <w:vAlign w:val="center"/>
                </w:tcPr>
                <w:p w14:paraId="080AA48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b w:val="0"/>
                      <w:bCs w:val="0"/>
                      <w:sz w:val="21"/>
                      <w:szCs w:val="21"/>
                      <w:lang w:val="en-US"/>
                    </w:rPr>
                  </w:pPr>
                  <w:r>
                    <w:rPr>
                      <w:rFonts w:hint="eastAsia" w:ascii="Times New Roman" w:hAnsi="Times New Roman" w:eastAsia="宋体"/>
                      <w:b w:val="0"/>
                      <w:bCs w:val="0"/>
                      <w:sz w:val="21"/>
                      <w:szCs w:val="21"/>
                      <w:lang w:val="en-US" w:eastAsia="zh-CN"/>
                    </w:rPr>
                    <w:t>厂界外20m处上风向设参照点，下风向设监控点</w:t>
                  </w:r>
                </w:p>
              </w:tc>
              <w:tc>
                <w:tcPr>
                  <w:tcW w:w="916" w:type="dxa"/>
                  <w:tcBorders>
                    <w:tl2br w:val="nil"/>
                    <w:tr2bl w:val="nil"/>
                  </w:tcBorders>
                  <w:noWrap w:val="0"/>
                  <w:vAlign w:val="center"/>
                </w:tcPr>
                <w:p w14:paraId="2311EF63">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sz w:val="21"/>
                      <w:szCs w:val="21"/>
                      <w:lang w:val="en-US"/>
                    </w:rPr>
                  </w:pPr>
                  <w:r>
                    <w:rPr>
                      <w:rFonts w:hint="default" w:ascii="Times New Roman" w:hAnsi="Times New Roman" w:eastAsia="宋体"/>
                      <w:b w:val="0"/>
                      <w:bCs w:val="0"/>
                      <w:sz w:val="21"/>
                      <w:szCs w:val="21"/>
                      <w:lang w:val="en-US" w:eastAsia="zh-CN"/>
                    </w:rPr>
                    <w:t>厂界</w:t>
                  </w:r>
                  <w:r>
                    <w:rPr>
                      <w:rFonts w:hint="eastAsia" w:ascii="Times New Roman" w:hAnsi="Times New Roman" w:eastAsia="宋体"/>
                      <w:b w:val="0"/>
                      <w:bCs w:val="0"/>
                      <w:sz w:val="21"/>
                      <w:szCs w:val="21"/>
                      <w:lang w:val="en-US" w:eastAsia="zh-CN"/>
                    </w:rPr>
                    <w:t>外</w:t>
                  </w:r>
                </w:p>
              </w:tc>
              <w:tc>
                <w:tcPr>
                  <w:tcW w:w="1186" w:type="dxa"/>
                  <w:tcBorders>
                    <w:tl2br w:val="nil"/>
                    <w:tr2bl w:val="nil"/>
                  </w:tcBorders>
                  <w:noWrap w:val="0"/>
                  <w:vAlign w:val="center"/>
                </w:tcPr>
                <w:p w14:paraId="262817B9">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sz w:val="21"/>
                      <w:szCs w:val="21"/>
                      <w:lang w:val="en-US"/>
                    </w:rPr>
                  </w:pPr>
                  <w:r>
                    <w:rPr>
                      <w:rFonts w:hint="default" w:ascii="Times New Roman" w:hAnsi="Times New Roman" w:eastAsia="宋体"/>
                      <w:b w:val="0"/>
                      <w:bCs w:val="0"/>
                      <w:sz w:val="21"/>
                      <w:szCs w:val="21"/>
                      <w:lang w:val="en-US" w:eastAsia="zh-CN"/>
                    </w:rPr>
                    <w:t>非甲烷总烃</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rPr>
                    <w:t>颗粒物</w:t>
                  </w:r>
                </w:p>
              </w:tc>
              <w:tc>
                <w:tcPr>
                  <w:tcW w:w="1310" w:type="dxa"/>
                  <w:tcBorders>
                    <w:tl2br w:val="nil"/>
                    <w:tr2bl w:val="nil"/>
                  </w:tcBorders>
                  <w:noWrap w:val="0"/>
                  <w:vAlign w:val="center"/>
                </w:tcPr>
                <w:p w14:paraId="03B19E9E">
                  <w:pPr>
                    <w:keepNext w:val="0"/>
                    <w:pageBreakBefore w:val="0"/>
                    <w:widowControl w:val="0"/>
                    <w:kinsoku/>
                    <w:wordWrap/>
                    <w:overflow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sz w:val="21"/>
                      <w:szCs w:val="21"/>
                      <w:lang w:val="en-US"/>
                    </w:rPr>
                  </w:pPr>
                  <w:r>
                    <w:rPr>
                      <w:rFonts w:hint="default" w:ascii="Times New Roman" w:hAnsi="Times New Roman" w:eastAsia="宋体"/>
                      <w:b w:val="0"/>
                      <w:bCs w:val="0"/>
                      <w:sz w:val="21"/>
                      <w:szCs w:val="21"/>
                    </w:rPr>
                    <w:t>1次/年</w:t>
                  </w:r>
                </w:p>
              </w:tc>
              <w:tc>
                <w:tcPr>
                  <w:tcW w:w="1961" w:type="pct"/>
                  <w:tcBorders>
                    <w:tl2br w:val="nil"/>
                    <w:tr2bl w:val="nil"/>
                  </w:tcBorders>
                  <w:noWrap w:val="0"/>
                  <w:vAlign w:val="center"/>
                </w:tcPr>
                <w:p w14:paraId="78632D71">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《合成树脂工业污染物排放标准》（GB- 31572-2015）及修改单中</w:t>
                  </w:r>
                  <w:r>
                    <w:rPr>
                      <w:rFonts w:hint="default" w:ascii="Times New Roman" w:hAnsi="Times New Roman" w:eastAsia="宋体"/>
                      <w:b w:val="0"/>
                      <w:bCs w:val="0"/>
                      <w:sz w:val="21"/>
                      <w:szCs w:val="21"/>
                    </w:rPr>
                    <w:t>企业边界</w:t>
                  </w:r>
                  <w:r>
                    <w:rPr>
                      <w:rFonts w:hint="default" w:ascii="Times New Roman" w:hAnsi="Times New Roman" w:eastAsia="宋体"/>
                      <w:b w:val="0"/>
                      <w:bCs w:val="0"/>
                      <w:sz w:val="21"/>
                      <w:szCs w:val="21"/>
                      <w:lang w:val="en-US" w:eastAsia="zh-CN"/>
                    </w:rPr>
                    <w:t>非甲烷总烃</w:t>
                  </w:r>
                  <w:r>
                    <w:rPr>
                      <w:rFonts w:hint="default" w:ascii="Times New Roman" w:hAnsi="Times New Roman" w:eastAsia="宋体"/>
                      <w:b w:val="0"/>
                      <w:bCs w:val="0"/>
                      <w:sz w:val="21"/>
                      <w:szCs w:val="21"/>
                    </w:rPr>
                    <w:t>浓度限值</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4</w:t>
                  </w:r>
                  <w:r>
                    <w:rPr>
                      <w:rFonts w:hint="default" w:ascii="Times New Roman" w:hAnsi="Times New Roman" w:eastAsia="宋体"/>
                      <w:b w:val="0"/>
                      <w:bCs w:val="0"/>
                      <w:sz w:val="21"/>
                      <w:szCs w:val="21"/>
                      <w:lang w:val="en-US" w:eastAsia="zh-CN"/>
                    </w:rPr>
                    <w:t>mg/m³</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rPr>
                    <w:t>颗粒物浓度限值</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1</w:t>
                  </w:r>
                  <w:r>
                    <w:rPr>
                      <w:rFonts w:hint="default" w:ascii="Times New Roman" w:hAnsi="Times New Roman" w:eastAsia="宋体"/>
                      <w:b w:val="0"/>
                      <w:bCs w:val="0"/>
                      <w:sz w:val="21"/>
                      <w:szCs w:val="21"/>
                      <w:lang w:val="en-US" w:eastAsia="zh-CN"/>
                    </w:rPr>
                    <w:t>mg/m³</w:t>
                  </w:r>
                </w:p>
              </w:tc>
            </w:tr>
            <w:tr w14:paraId="78750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28" w:type="pct"/>
                  <w:tcBorders>
                    <w:tl2br w:val="nil"/>
                    <w:tr2bl w:val="nil"/>
                  </w:tcBorders>
                  <w:noWrap w:val="0"/>
                  <w:vAlign w:val="center"/>
                </w:tcPr>
                <w:p w14:paraId="6ED938B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厂界外20m处上风向设参照点，下风向设监控点</w:t>
                  </w:r>
                </w:p>
              </w:tc>
              <w:tc>
                <w:tcPr>
                  <w:tcW w:w="539" w:type="pct"/>
                  <w:tcBorders>
                    <w:tl2br w:val="nil"/>
                    <w:tr2bl w:val="nil"/>
                  </w:tcBorders>
                  <w:noWrap w:val="0"/>
                  <w:vAlign w:val="center"/>
                </w:tcPr>
                <w:p w14:paraId="49808F6F">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厂界</w:t>
                  </w:r>
                  <w:r>
                    <w:rPr>
                      <w:rFonts w:hint="eastAsia" w:ascii="Times New Roman" w:hAnsi="Times New Roman" w:eastAsia="宋体"/>
                      <w:b w:val="0"/>
                      <w:bCs w:val="0"/>
                      <w:sz w:val="21"/>
                      <w:szCs w:val="21"/>
                      <w:lang w:val="en-US" w:eastAsia="zh-CN"/>
                    </w:rPr>
                    <w:t>外</w:t>
                  </w:r>
                </w:p>
              </w:tc>
              <w:tc>
                <w:tcPr>
                  <w:tcW w:w="698" w:type="pct"/>
                  <w:tcBorders>
                    <w:tl2br w:val="nil"/>
                    <w:tr2bl w:val="nil"/>
                  </w:tcBorders>
                  <w:noWrap w:val="0"/>
                  <w:vAlign w:val="center"/>
                </w:tcPr>
                <w:p w14:paraId="05B31D89">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氯化氢</w:t>
                  </w:r>
                </w:p>
              </w:tc>
              <w:tc>
                <w:tcPr>
                  <w:tcW w:w="771" w:type="pct"/>
                  <w:tcBorders>
                    <w:tl2br w:val="nil"/>
                    <w:tr2bl w:val="nil"/>
                  </w:tcBorders>
                  <w:noWrap w:val="0"/>
                  <w:vAlign w:val="center"/>
                </w:tcPr>
                <w:p w14:paraId="264CE1E4">
                  <w:pPr>
                    <w:keepNext w:val="0"/>
                    <w:pageBreakBefore w:val="0"/>
                    <w:widowControl w:val="0"/>
                    <w:kinsoku/>
                    <w:wordWrap/>
                    <w:overflow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1次/年</w:t>
                  </w:r>
                </w:p>
              </w:tc>
              <w:tc>
                <w:tcPr>
                  <w:tcW w:w="1961" w:type="pct"/>
                  <w:tcBorders>
                    <w:tl2br w:val="nil"/>
                    <w:tr2bl w:val="nil"/>
                  </w:tcBorders>
                  <w:noWrap w:val="0"/>
                  <w:vAlign w:val="center"/>
                </w:tcPr>
                <w:p w14:paraId="1F898B80">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《合成树脂工业污染物排放标准》（GB- 31572-2015）及修改单中</w:t>
                  </w:r>
                  <w:r>
                    <w:rPr>
                      <w:rFonts w:hint="default" w:ascii="Times New Roman" w:hAnsi="Times New Roman" w:eastAsia="宋体"/>
                      <w:b w:val="0"/>
                      <w:bCs w:val="0"/>
                      <w:sz w:val="21"/>
                      <w:szCs w:val="21"/>
                    </w:rPr>
                    <w:t>企业边界</w:t>
                  </w:r>
                  <w:r>
                    <w:rPr>
                      <w:rFonts w:hint="eastAsia" w:ascii="Times New Roman" w:hAnsi="Times New Roman" w:eastAsia="宋体"/>
                      <w:b w:val="0"/>
                      <w:bCs w:val="0"/>
                      <w:sz w:val="21"/>
                      <w:szCs w:val="21"/>
                      <w:lang w:val="en-US" w:eastAsia="zh-CN"/>
                    </w:rPr>
                    <w:t>氯化氢</w:t>
                  </w:r>
                  <w:r>
                    <w:rPr>
                      <w:rFonts w:hint="default" w:ascii="Times New Roman" w:hAnsi="Times New Roman" w:eastAsia="宋体"/>
                      <w:b w:val="0"/>
                      <w:bCs w:val="0"/>
                      <w:sz w:val="21"/>
                      <w:szCs w:val="21"/>
                    </w:rPr>
                    <w:t>浓度限值</w:t>
                  </w:r>
                  <w:r>
                    <w:rPr>
                      <w:rFonts w:hint="eastAsia" w:ascii="Times New Roman" w:hAnsi="Times New Roman" w:eastAsia="宋体"/>
                      <w:b w:val="0"/>
                      <w:bCs w:val="0"/>
                      <w:sz w:val="21"/>
                      <w:szCs w:val="21"/>
                      <w:lang w:val="en-US" w:eastAsia="zh-CN"/>
                    </w:rPr>
                    <w:t>0.2</w:t>
                  </w:r>
                  <w:r>
                    <w:rPr>
                      <w:rFonts w:hint="default" w:ascii="Times New Roman" w:hAnsi="Times New Roman" w:eastAsia="宋体"/>
                      <w:b w:val="0"/>
                      <w:bCs w:val="0"/>
                      <w:sz w:val="21"/>
                      <w:szCs w:val="21"/>
                      <w:lang w:val="en-US" w:eastAsia="zh-CN"/>
                    </w:rPr>
                    <w:t>mg/m³</w:t>
                  </w:r>
                </w:p>
              </w:tc>
            </w:tr>
          </w:tbl>
          <w:p w14:paraId="1F60F987">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baseline"/>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本项目废气非甲烷总烃和粉尘经措施处理后均可以达标排放，且本项目周边500m范围内无居民等环境敏感点，因此对周围环境影响较小。</w:t>
            </w:r>
          </w:p>
          <w:p w14:paraId="707DE93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5总结</w:t>
            </w:r>
          </w:p>
          <w:p w14:paraId="691B0DC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baseline"/>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本项目位于天北经济技术开发区内，附近不存在环境敏感保护目标，同时本项目的产污环节，破碎、混料、加热挤出均已提出合理可行的环保措施，布袋除尘器、活性炭吸附脱附加催化燃烧器。经计算本项目正常运行情况下产生的污染物经环保措施处理可以达到排放标准，因此本项目废气对于环境的影响是可接受的。</w:t>
            </w:r>
          </w:p>
          <w:p w14:paraId="36A28919">
            <w:pPr>
              <w:keepNext w:val="0"/>
              <w:keepLines w:val="0"/>
              <w:pageBreakBefore w:val="0"/>
              <w:kinsoku/>
              <w:wordWrap/>
              <w:overflowPunct/>
              <w:topLinePunct w:val="0"/>
              <w:autoSpaceDE/>
              <w:autoSpaceDN/>
              <w:bidi w:val="0"/>
              <w:spacing w:line="360" w:lineRule="auto"/>
              <w:ind w:firstLine="0" w:firstLineChars="0"/>
              <w:rPr>
                <w:rFonts w:ascii="Times New Roman" w:hAnsi="Times New Roman" w:eastAsia="宋体"/>
                <w:b/>
                <w:bCs/>
                <w:sz w:val="21"/>
                <w:szCs w:val="21"/>
              </w:rPr>
            </w:pPr>
            <w:r>
              <w:rPr>
                <w:rFonts w:hint="eastAsia" w:ascii="Times New Roman" w:hAnsi="Times New Roman" w:eastAsia="宋体"/>
                <w:b/>
                <w:bCs/>
                <w:sz w:val="21"/>
                <w:szCs w:val="21"/>
                <w:lang w:val="en-US" w:eastAsia="zh-CN"/>
              </w:rPr>
              <w:t>二、</w:t>
            </w:r>
            <w:r>
              <w:rPr>
                <w:rFonts w:ascii="Times New Roman" w:hAnsi="Times New Roman" w:eastAsia="宋体"/>
                <w:b/>
                <w:bCs/>
                <w:sz w:val="21"/>
                <w:szCs w:val="21"/>
              </w:rPr>
              <w:t>废水</w:t>
            </w:r>
          </w:p>
          <w:p w14:paraId="59696CD3">
            <w:pPr>
              <w:keepNext w:val="0"/>
              <w:keepLines w:val="0"/>
              <w:pageBreakBefore w:val="0"/>
              <w:kinsoku/>
              <w:wordWrap/>
              <w:overflowPunct/>
              <w:topLinePunct w:val="0"/>
              <w:autoSpaceDE/>
              <w:autoSpaceDN/>
              <w:bidi w:val="0"/>
              <w:spacing w:line="360" w:lineRule="auto"/>
              <w:ind w:firstLine="560"/>
              <w:rPr>
                <w:rFonts w:ascii="Times New Roman" w:hAnsi="Times New Roman" w:eastAsia="宋体"/>
                <w:b w:val="0"/>
                <w:bCs w:val="0"/>
                <w:sz w:val="21"/>
                <w:szCs w:val="21"/>
              </w:rPr>
            </w:pPr>
            <w:r>
              <w:rPr>
                <w:rFonts w:ascii="Times New Roman" w:hAnsi="Times New Roman" w:eastAsia="宋体"/>
                <w:b w:val="0"/>
                <w:bCs w:val="0"/>
                <w:sz w:val="21"/>
                <w:szCs w:val="21"/>
              </w:rPr>
              <w:t>1</w:t>
            </w:r>
            <w:r>
              <w:rPr>
                <w:rFonts w:hint="eastAsia" w:ascii="Times New Roman" w:hAnsi="Times New Roman" w:eastAsia="宋体"/>
                <w:b w:val="0"/>
                <w:bCs w:val="0"/>
                <w:sz w:val="21"/>
                <w:szCs w:val="21"/>
              </w:rPr>
              <w:t>）生活用水</w:t>
            </w:r>
          </w:p>
          <w:p w14:paraId="706D6DB6">
            <w:pPr>
              <w:keepNext w:val="0"/>
              <w:keepLines w:val="0"/>
              <w:pageBreakBefore w:val="0"/>
              <w:kinsoku/>
              <w:wordWrap/>
              <w:overflowPunct/>
              <w:topLinePunct w:val="0"/>
              <w:autoSpaceDE/>
              <w:autoSpaceDN/>
              <w:bidi w:val="0"/>
              <w:adjustRightInd w:val="0"/>
              <w:snapToGrid w:val="0"/>
              <w:spacing w:line="360" w:lineRule="auto"/>
              <w:ind w:firstLine="560"/>
              <w:rPr>
                <w:rFonts w:ascii="Times New Roman" w:hAnsi="Times New Roman" w:eastAsia="宋体"/>
                <w:b w:val="0"/>
                <w:bCs w:val="0"/>
                <w:sz w:val="21"/>
                <w:szCs w:val="21"/>
              </w:rPr>
            </w:pPr>
            <w:r>
              <w:rPr>
                <w:rFonts w:ascii="Times New Roman" w:hAnsi="Times New Roman" w:eastAsia="宋体"/>
                <w:b w:val="0"/>
                <w:bCs w:val="0"/>
                <w:sz w:val="21"/>
                <w:szCs w:val="21"/>
              </w:rPr>
              <w:t>项目生产过程中工作人员</w:t>
            </w:r>
            <w:r>
              <w:rPr>
                <w:rFonts w:hint="eastAsia" w:ascii="Times New Roman" w:hAnsi="Times New Roman" w:eastAsia="宋体"/>
                <w:b w:val="0"/>
                <w:bCs w:val="0"/>
                <w:sz w:val="21"/>
                <w:szCs w:val="21"/>
                <w:lang w:val="en-US" w:eastAsia="zh-CN"/>
              </w:rPr>
              <w:t>1</w:t>
            </w:r>
            <w:r>
              <w:rPr>
                <w:rFonts w:hint="eastAsia" w:ascii="Times New Roman" w:hAnsi="Times New Roman" w:eastAsia="宋体"/>
                <w:b w:val="0"/>
                <w:bCs w:val="0"/>
                <w:sz w:val="21"/>
                <w:szCs w:val="21"/>
              </w:rPr>
              <w:t>0</w:t>
            </w:r>
            <w:r>
              <w:rPr>
                <w:rFonts w:ascii="Times New Roman" w:hAnsi="Times New Roman" w:eastAsia="宋体"/>
                <w:b w:val="0"/>
                <w:bCs w:val="0"/>
                <w:sz w:val="21"/>
                <w:szCs w:val="21"/>
              </w:rPr>
              <w:t>人，工作天数</w:t>
            </w:r>
            <w:r>
              <w:rPr>
                <w:rFonts w:hint="eastAsia" w:ascii="Times New Roman" w:hAnsi="Times New Roman" w:eastAsia="宋体"/>
                <w:b w:val="0"/>
                <w:bCs w:val="0"/>
                <w:sz w:val="21"/>
                <w:szCs w:val="21"/>
                <w:lang w:val="en-US" w:eastAsia="zh-CN"/>
              </w:rPr>
              <w:t>30</w:t>
            </w:r>
            <w:r>
              <w:rPr>
                <w:rFonts w:hint="eastAsia" w:ascii="Times New Roman" w:hAnsi="Times New Roman" w:eastAsia="宋体"/>
                <w:b w:val="0"/>
                <w:bCs w:val="0"/>
                <w:sz w:val="21"/>
                <w:szCs w:val="21"/>
              </w:rPr>
              <w:t>0</w:t>
            </w:r>
            <w:r>
              <w:rPr>
                <w:rFonts w:ascii="Times New Roman" w:hAnsi="Times New Roman" w:eastAsia="宋体"/>
                <w:b w:val="0"/>
                <w:bCs w:val="0"/>
                <w:sz w:val="21"/>
                <w:szCs w:val="21"/>
              </w:rPr>
              <w:t>d，实行</w:t>
            </w:r>
            <w:r>
              <w:rPr>
                <w:rFonts w:hint="eastAsia" w:ascii="Times New Roman" w:hAnsi="Times New Roman" w:eastAsia="宋体"/>
                <w:b w:val="0"/>
                <w:bCs w:val="0"/>
                <w:sz w:val="21"/>
                <w:szCs w:val="21"/>
              </w:rPr>
              <w:t>单班制</w:t>
            </w:r>
            <w:r>
              <w:rPr>
                <w:rFonts w:ascii="Times New Roman" w:hAnsi="Times New Roman" w:eastAsia="宋体"/>
                <w:b w:val="0"/>
                <w:bCs w:val="0"/>
                <w:sz w:val="21"/>
                <w:szCs w:val="21"/>
              </w:rPr>
              <w:t>，每班</w:t>
            </w:r>
            <w:r>
              <w:rPr>
                <w:rFonts w:hint="eastAsia" w:ascii="Times New Roman" w:hAnsi="Times New Roman" w:eastAsia="宋体"/>
                <w:b w:val="0"/>
                <w:bCs w:val="0"/>
                <w:sz w:val="21"/>
                <w:szCs w:val="21"/>
              </w:rPr>
              <w:t>10</w:t>
            </w:r>
            <w:r>
              <w:rPr>
                <w:rFonts w:ascii="Times New Roman" w:hAnsi="Times New Roman" w:eastAsia="宋体"/>
                <w:b w:val="0"/>
                <w:bCs w:val="0"/>
                <w:sz w:val="21"/>
                <w:szCs w:val="21"/>
              </w:rPr>
              <w:t>h，员工在厂区住宿。根据《新疆维吾尔自治区生活用水定额》，</w:t>
            </w:r>
            <w:r>
              <w:rPr>
                <w:rFonts w:hint="eastAsia" w:ascii="Times New Roman" w:hAnsi="Times New Roman" w:eastAsia="宋体"/>
                <w:b w:val="0"/>
                <w:bCs w:val="0"/>
                <w:sz w:val="21"/>
                <w:szCs w:val="21"/>
              </w:rPr>
              <w:t>9920其他行业</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集体宿舍用水定额为80</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100L/人·日，</w:t>
            </w:r>
            <w:r>
              <w:rPr>
                <w:rFonts w:ascii="Times New Roman" w:hAnsi="Times New Roman" w:eastAsia="宋体"/>
                <w:b w:val="0"/>
                <w:bCs w:val="0"/>
                <w:sz w:val="21"/>
                <w:szCs w:val="21"/>
              </w:rPr>
              <w:t>此处取</w:t>
            </w:r>
            <w:r>
              <w:rPr>
                <w:rFonts w:hint="eastAsia" w:ascii="Times New Roman" w:hAnsi="Times New Roman" w:eastAsia="宋体"/>
                <w:b w:val="0"/>
                <w:bCs w:val="0"/>
                <w:sz w:val="21"/>
                <w:szCs w:val="21"/>
              </w:rPr>
              <w:t>100</w:t>
            </w:r>
            <w:r>
              <w:rPr>
                <w:rFonts w:ascii="Times New Roman" w:hAnsi="Times New Roman" w:eastAsia="宋体"/>
                <w:b w:val="0"/>
                <w:bCs w:val="0"/>
                <w:sz w:val="21"/>
                <w:szCs w:val="21"/>
              </w:rPr>
              <w:t>L/人</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d，则平均每天用水量约为</w:t>
            </w:r>
            <w:r>
              <w:rPr>
                <w:rFonts w:hint="eastAsia" w:ascii="Times New Roman" w:hAnsi="Times New Roman" w:eastAsia="宋体"/>
                <w:b w:val="0"/>
                <w:bCs w:val="0"/>
                <w:sz w:val="21"/>
                <w:szCs w:val="21"/>
                <w:lang w:val="en-US" w:eastAsia="zh-CN"/>
              </w:rPr>
              <w:t>1m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/d，生活用水量共计</w:t>
            </w:r>
            <w:r>
              <w:rPr>
                <w:rFonts w:hint="eastAsia" w:ascii="Times New Roman" w:hAnsi="Times New Roman" w:eastAsia="宋体"/>
                <w:b w:val="0"/>
                <w:bCs w:val="0"/>
                <w:sz w:val="21"/>
                <w:szCs w:val="21"/>
                <w:lang w:val="en-US" w:eastAsia="zh-CN"/>
              </w:rPr>
              <w:t>300m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/a，排放率以0.8</w:t>
            </w:r>
            <w:r>
              <w:rPr>
                <w:rFonts w:hint="eastAsia" w:ascii="Times New Roman" w:hAnsi="Times New Roman" w:eastAsia="宋体"/>
                <w:b w:val="0"/>
                <w:bCs w:val="0"/>
                <w:sz w:val="21"/>
                <w:szCs w:val="21"/>
                <w:lang w:eastAsia="zh-CN"/>
              </w:rPr>
              <w:t>计</w:t>
            </w:r>
            <w:r>
              <w:rPr>
                <w:rFonts w:hint="eastAsia" w:ascii="Times New Roman" w:hAnsi="Times New Roman" w:eastAsia="宋体"/>
                <w:b w:val="0"/>
                <w:bCs w:val="0"/>
                <w:sz w:val="21"/>
                <w:szCs w:val="21"/>
              </w:rPr>
              <w:t>，排水量为</w:t>
            </w:r>
            <w:r>
              <w:rPr>
                <w:rFonts w:hint="eastAsia" w:ascii="Times New Roman" w:hAnsi="Times New Roman" w:eastAsia="宋体"/>
                <w:b w:val="0"/>
                <w:bCs w:val="0"/>
                <w:sz w:val="21"/>
                <w:szCs w:val="21"/>
                <w:lang w:val="en-US" w:eastAsia="zh-CN"/>
              </w:rPr>
              <w:t>0.8m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rPr>
              <w:t>/d（</w:t>
            </w:r>
            <w:r>
              <w:rPr>
                <w:rFonts w:hint="eastAsia" w:ascii="Times New Roman" w:hAnsi="Times New Roman" w:eastAsia="宋体"/>
                <w:b w:val="0"/>
                <w:bCs w:val="0"/>
                <w:sz w:val="21"/>
                <w:szCs w:val="21"/>
                <w:lang w:val="en-US" w:eastAsia="zh-CN"/>
              </w:rPr>
              <w:t>240m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rPr>
              <w:t>/a）</w:t>
            </w:r>
            <w:r>
              <w:rPr>
                <w:rFonts w:ascii="Times New Roman" w:hAnsi="Times New Roman" w:eastAsia="宋体"/>
                <w:b w:val="0"/>
                <w:bCs w:val="0"/>
                <w:sz w:val="21"/>
                <w:szCs w:val="21"/>
              </w:rPr>
              <w:t>。</w:t>
            </w:r>
          </w:p>
          <w:p w14:paraId="35696F3C">
            <w:pPr>
              <w:keepNext w:val="0"/>
              <w:keepLines w:val="0"/>
              <w:pageBreakBefore w:val="0"/>
              <w:widowControl/>
              <w:kinsoku/>
              <w:wordWrap/>
              <w:overflowPunct/>
              <w:topLinePunct w:val="0"/>
              <w:autoSpaceDE/>
              <w:autoSpaceDN/>
              <w:bidi w:val="0"/>
              <w:spacing w:line="360" w:lineRule="auto"/>
              <w:ind w:firstLine="560"/>
              <w:rPr>
                <w:rFonts w:ascii="Times New Roman" w:hAnsi="Times New Roman" w:eastAsia="宋体"/>
                <w:b w:val="0"/>
                <w:bCs w:val="0"/>
                <w:sz w:val="21"/>
                <w:szCs w:val="21"/>
              </w:rPr>
            </w:pPr>
            <w:r>
              <w:rPr>
                <w:rFonts w:hint="eastAsia" w:ascii="Times New Roman" w:hAnsi="Times New Roman" w:eastAsia="宋体"/>
                <w:b w:val="0"/>
                <w:bCs w:val="0"/>
                <w:sz w:val="21"/>
                <w:szCs w:val="21"/>
              </w:rPr>
              <w:t>2）生产</w:t>
            </w:r>
            <w:r>
              <w:rPr>
                <w:rFonts w:hint="eastAsia" w:ascii="Times New Roman" w:hAnsi="Times New Roman" w:eastAsia="宋体"/>
                <w:b w:val="0"/>
                <w:bCs w:val="0"/>
                <w:sz w:val="21"/>
                <w:szCs w:val="21"/>
                <w:lang w:val="en-US" w:eastAsia="zh-CN"/>
              </w:rPr>
              <w:t>冷却</w:t>
            </w:r>
            <w:r>
              <w:rPr>
                <w:rFonts w:hint="eastAsia" w:ascii="Times New Roman" w:hAnsi="Times New Roman" w:eastAsia="宋体"/>
                <w:b w:val="0"/>
                <w:bCs w:val="0"/>
                <w:sz w:val="21"/>
                <w:szCs w:val="21"/>
              </w:rPr>
              <w:t>用水</w:t>
            </w:r>
          </w:p>
          <w:p w14:paraId="458746F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b w:val="0"/>
                <w:bCs w:val="0"/>
                <w:sz w:val="21"/>
                <w:szCs w:val="21"/>
                <w:lang w:val="en-US"/>
              </w:rPr>
            </w:pPr>
            <w:r>
              <w:rPr>
                <w:rFonts w:hint="eastAsia" w:ascii="Times New Roman" w:hAnsi="Times New Roman" w:eastAsia="宋体"/>
                <w:b w:val="0"/>
                <w:bCs w:val="0"/>
                <w:sz w:val="21"/>
                <w:szCs w:val="21"/>
                <w:lang w:val="en-US" w:eastAsia="zh-CN"/>
              </w:rPr>
              <w:t>本项目使用容量60m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的冷却水罐，配备潜水泵，冷却水间接接触生产设备达到冷却效果。一年生产结束将水排至市政管网，年用水量为30m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/a。</w:t>
            </w:r>
          </w:p>
          <w:p w14:paraId="6AF8FBEE">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本项目用水总量为</w:t>
            </w:r>
            <w:r>
              <w:rPr>
                <w:rFonts w:hint="eastAsia" w:ascii="Times New Roman" w:hAnsi="Times New Roman" w:eastAsia="宋体"/>
                <w:b w:val="0"/>
                <w:bCs w:val="0"/>
                <w:sz w:val="21"/>
                <w:szCs w:val="21"/>
                <w:lang w:val="en-US" w:eastAsia="zh-CN"/>
              </w:rPr>
              <w:t>330m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rPr>
              <w:t>/a，</w:t>
            </w:r>
            <w:r>
              <w:rPr>
                <w:rFonts w:hint="eastAsia" w:ascii="Times New Roman" w:hAnsi="Times New Roman" w:eastAsia="宋体"/>
                <w:b w:val="0"/>
                <w:bCs w:val="0"/>
                <w:sz w:val="21"/>
                <w:szCs w:val="21"/>
                <w:lang w:val="en-US" w:eastAsia="zh-CN"/>
              </w:rPr>
              <w:t>.冷却水间接冷却生产设备，冷却水不含有机物等有害物质，一年生产结束后直接排入市政管网（全部排出共30m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生活废水排入化粪池（消耗60m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，排出240m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），处理后排入市政管网，最终由天北经开区污水处理厂处理，本项目总排水量为270m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rPr>
              <w:t>/a</w:t>
            </w:r>
            <w:r>
              <w:rPr>
                <w:rFonts w:hint="eastAsia" w:ascii="Times New Roman" w:hAnsi="Times New Roman" w:eastAsia="宋体"/>
                <w:b w:val="0"/>
                <w:bCs w:val="0"/>
                <w:sz w:val="21"/>
                <w:szCs w:val="21"/>
                <w:lang w:val="en-US" w:eastAsia="zh-CN"/>
              </w:rPr>
              <w:t>。</w:t>
            </w:r>
            <w:r>
              <w:rPr>
                <w:rFonts w:hint="eastAsia" w:ascii="Times New Roman" w:hAnsi="Times New Roman" w:eastAsia="宋体"/>
                <w:b w:val="0"/>
                <w:bCs w:val="0"/>
                <w:sz w:val="21"/>
                <w:szCs w:val="21"/>
              </w:rPr>
              <w:t>无废水外排。本项目生活废水的主要污染物为</w:t>
            </w:r>
            <w:r>
              <w:rPr>
                <w:rFonts w:ascii="Times New Roman" w:hAnsi="Times New Roman" w:eastAsia="宋体"/>
                <w:b w:val="0"/>
                <w:bCs w:val="0"/>
                <w:sz w:val="21"/>
                <w:szCs w:val="21"/>
              </w:rPr>
              <w:t>COD</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3</w:t>
            </w:r>
            <w:r>
              <w:rPr>
                <w:rFonts w:hint="eastAsia" w:ascii="Times New Roman" w:hAnsi="Times New Roman" w:eastAsia="宋体"/>
                <w:b w:val="0"/>
                <w:bCs w:val="0"/>
                <w:sz w:val="21"/>
                <w:szCs w:val="21"/>
              </w:rPr>
              <w:t>5</w:t>
            </w:r>
            <w:r>
              <w:rPr>
                <w:rFonts w:ascii="Times New Roman" w:hAnsi="Times New Roman" w:eastAsia="宋体"/>
                <w:b w:val="0"/>
                <w:bCs w:val="0"/>
                <w:sz w:val="21"/>
                <w:szCs w:val="21"/>
              </w:rPr>
              <w:t>0mg/L</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BOD</w:t>
            </w:r>
            <w:r>
              <w:rPr>
                <w:rFonts w:ascii="Times New Roman" w:hAnsi="Times New Roman" w:eastAsia="宋体"/>
                <w:b w:val="0"/>
                <w:bCs w:val="0"/>
                <w:sz w:val="21"/>
                <w:szCs w:val="21"/>
                <w:vertAlign w:val="subscript"/>
              </w:rPr>
              <w:t>5</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2</w:t>
            </w:r>
            <w:r>
              <w:rPr>
                <w:rFonts w:hint="eastAsia" w:ascii="Times New Roman" w:hAnsi="Times New Roman" w:eastAsia="宋体"/>
                <w:b w:val="0"/>
                <w:bCs w:val="0"/>
                <w:sz w:val="21"/>
                <w:szCs w:val="21"/>
              </w:rPr>
              <w:t>0</w:t>
            </w:r>
            <w:r>
              <w:rPr>
                <w:rFonts w:ascii="Times New Roman" w:hAnsi="Times New Roman" w:eastAsia="宋体"/>
                <w:b w:val="0"/>
                <w:bCs w:val="0"/>
                <w:sz w:val="21"/>
                <w:szCs w:val="21"/>
              </w:rPr>
              <w:t>0mg/L</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SS</w:t>
            </w:r>
            <w:r>
              <w:rPr>
                <w:rFonts w:hint="eastAsia" w:ascii="Times New Roman" w:hAnsi="Times New Roman" w:eastAsia="宋体"/>
                <w:b w:val="0"/>
                <w:bCs w:val="0"/>
                <w:sz w:val="21"/>
                <w:szCs w:val="21"/>
              </w:rPr>
              <w:t>（2</w:t>
            </w:r>
            <w:r>
              <w:rPr>
                <w:rFonts w:ascii="Times New Roman" w:hAnsi="Times New Roman" w:eastAsia="宋体"/>
                <w:b w:val="0"/>
                <w:bCs w:val="0"/>
                <w:sz w:val="21"/>
                <w:szCs w:val="21"/>
              </w:rPr>
              <w:t>50mg/L</w:t>
            </w:r>
            <w:r>
              <w:rPr>
                <w:rFonts w:hint="eastAsia" w:ascii="Times New Roman" w:hAnsi="Times New Roman" w:eastAsia="宋体"/>
                <w:b w:val="0"/>
                <w:bCs w:val="0"/>
                <w:sz w:val="21"/>
                <w:szCs w:val="21"/>
              </w:rPr>
              <w:t>）、氨氮（30</w:t>
            </w:r>
            <w:r>
              <w:rPr>
                <w:rFonts w:ascii="Times New Roman" w:hAnsi="Times New Roman" w:eastAsia="宋体"/>
                <w:b w:val="0"/>
                <w:bCs w:val="0"/>
                <w:sz w:val="21"/>
                <w:szCs w:val="21"/>
              </w:rPr>
              <w:t>mg/L</w:t>
            </w:r>
            <w:r>
              <w:rPr>
                <w:rFonts w:hint="eastAsia" w:ascii="Times New Roman" w:hAnsi="Times New Roman" w:eastAsia="宋体"/>
                <w:b w:val="0"/>
                <w:bCs w:val="0"/>
                <w:sz w:val="21"/>
                <w:szCs w:val="21"/>
              </w:rPr>
              <w:t>）等。本项目生活污水产排情况见表</w:t>
            </w:r>
            <w:r>
              <w:rPr>
                <w:rFonts w:ascii="Times New Roman" w:hAnsi="Times New Roman" w:eastAsia="宋体"/>
                <w:b w:val="0"/>
                <w:bCs w:val="0"/>
                <w:sz w:val="21"/>
                <w:szCs w:val="21"/>
              </w:rPr>
              <w:t>4-</w:t>
            </w:r>
            <w:r>
              <w:rPr>
                <w:rFonts w:hint="eastAsia" w:ascii="Times New Roman" w:hAnsi="Times New Roman" w:eastAsia="宋体"/>
                <w:b w:val="0"/>
                <w:bCs w:val="0"/>
                <w:sz w:val="21"/>
                <w:szCs w:val="21"/>
                <w:lang w:val="en-US" w:eastAsia="zh-CN"/>
              </w:rPr>
              <w:t>5</w:t>
            </w:r>
            <w:r>
              <w:rPr>
                <w:rFonts w:hint="eastAsia" w:ascii="Times New Roman" w:hAnsi="Times New Roman" w:eastAsia="宋体"/>
                <w:b w:val="0"/>
                <w:bCs w:val="0"/>
                <w:sz w:val="21"/>
                <w:szCs w:val="21"/>
              </w:rPr>
              <w:t>。</w:t>
            </w:r>
          </w:p>
          <w:p w14:paraId="6CC2E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sz w:val="21"/>
                <w:szCs w:val="21"/>
                <w:lang w:val="en-GB" w:eastAsia="zh-CN"/>
              </w:rPr>
            </w:pPr>
            <w:r>
              <w:rPr>
                <w:rFonts w:hint="eastAsia" w:ascii="黑体" w:hAnsi="黑体" w:eastAsia="黑体" w:cs="黑体"/>
                <w:b w:val="0"/>
                <w:bCs w:val="0"/>
                <w:sz w:val="21"/>
                <w:szCs w:val="21"/>
                <w:lang w:val="en-GB" w:eastAsia="zh-CN"/>
              </w:rPr>
              <w:t>表</w:t>
            </w:r>
            <w:r>
              <w:rPr>
                <w:rFonts w:hint="eastAsia" w:ascii="黑体" w:hAnsi="黑体" w:eastAsia="黑体" w:cs="黑体"/>
                <w:b w:val="0"/>
                <w:bCs w:val="0"/>
                <w:sz w:val="21"/>
                <w:szCs w:val="21"/>
                <w:lang w:val="en-US" w:eastAsia="zh-CN"/>
              </w:rPr>
              <w:t>4-5</w:t>
            </w:r>
            <w:r>
              <w:rPr>
                <w:rFonts w:hint="eastAsia" w:ascii="黑体" w:hAnsi="黑体" w:eastAsia="黑体" w:cs="黑体"/>
                <w:b w:val="0"/>
                <w:bCs w:val="0"/>
                <w:sz w:val="21"/>
                <w:szCs w:val="21"/>
                <w:lang w:val="en-GB" w:eastAsia="zh-CN"/>
              </w:rPr>
              <w:t xml:space="preserve">   本项目生活污水产排情况</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1894"/>
              <w:gridCol w:w="1345"/>
              <w:gridCol w:w="1201"/>
              <w:gridCol w:w="1154"/>
              <w:gridCol w:w="1010"/>
            </w:tblGrid>
            <w:tr w14:paraId="67700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11" w:type="pct"/>
                  <w:tcBorders>
                    <w:tl2br w:val="nil"/>
                    <w:tr2bl w:val="nil"/>
                  </w:tcBorders>
                  <w:vAlign w:val="center"/>
                </w:tcPr>
                <w:p w14:paraId="47A07B09">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污水类别</w:t>
                  </w:r>
                </w:p>
              </w:tc>
              <w:tc>
                <w:tcPr>
                  <w:tcW w:w="1115" w:type="pct"/>
                  <w:tcBorders>
                    <w:tl2br w:val="nil"/>
                    <w:tr2bl w:val="nil"/>
                  </w:tcBorders>
                  <w:vAlign w:val="center"/>
                </w:tcPr>
                <w:p w14:paraId="00A3F8D3">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项目</w:t>
                  </w:r>
                </w:p>
              </w:tc>
              <w:tc>
                <w:tcPr>
                  <w:tcW w:w="792" w:type="pct"/>
                  <w:tcBorders>
                    <w:tl2br w:val="nil"/>
                    <w:tr2bl w:val="nil"/>
                  </w:tcBorders>
                  <w:vAlign w:val="center"/>
                </w:tcPr>
                <w:p w14:paraId="6A932AC8">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COD</w:t>
                  </w:r>
                </w:p>
              </w:tc>
              <w:tc>
                <w:tcPr>
                  <w:tcW w:w="707" w:type="pct"/>
                  <w:tcBorders>
                    <w:tl2br w:val="nil"/>
                    <w:tr2bl w:val="nil"/>
                  </w:tcBorders>
                  <w:vAlign w:val="center"/>
                </w:tcPr>
                <w:p w14:paraId="5C77EDB3">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BOD</w:t>
                  </w:r>
                  <w:r>
                    <w:rPr>
                      <w:rFonts w:hint="eastAsia" w:ascii="Times New Roman" w:hAnsi="Times New Roman" w:eastAsia="宋体"/>
                      <w:b w:val="0"/>
                      <w:bCs w:val="0"/>
                      <w:sz w:val="21"/>
                      <w:szCs w:val="21"/>
                      <w:vertAlign w:val="subscript"/>
                    </w:rPr>
                    <w:t>5</w:t>
                  </w:r>
                </w:p>
              </w:tc>
              <w:tc>
                <w:tcPr>
                  <w:tcW w:w="679" w:type="pct"/>
                  <w:tcBorders>
                    <w:tl2br w:val="nil"/>
                    <w:tr2bl w:val="nil"/>
                  </w:tcBorders>
                  <w:vAlign w:val="center"/>
                </w:tcPr>
                <w:p w14:paraId="48A4E485">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SS</w:t>
                  </w:r>
                </w:p>
              </w:tc>
              <w:tc>
                <w:tcPr>
                  <w:tcW w:w="594" w:type="pct"/>
                  <w:tcBorders>
                    <w:tl2br w:val="nil"/>
                    <w:tr2bl w:val="nil"/>
                  </w:tcBorders>
                  <w:vAlign w:val="center"/>
                </w:tcPr>
                <w:p w14:paraId="3AF2F49D">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NH</w:t>
                  </w:r>
                  <w:r>
                    <w:rPr>
                      <w:rFonts w:hint="eastAsia" w:ascii="Times New Roman" w:hAnsi="Times New Roman" w:eastAsia="宋体"/>
                      <w:b w:val="0"/>
                      <w:bCs w:val="0"/>
                      <w:sz w:val="21"/>
                      <w:szCs w:val="21"/>
                      <w:vertAlign w:val="subscript"/>
                    </w:rPr>
                    <w:t>3</w:t>
                  </w:r>
                  <w:r>
                    <w:rPr>
                      <w:rFonts w:ascii="Times New Roman" w:hAnsi="Times New Roman" w:eastAsia="宋体"/>
                      <w:b w:val="0"/>
                      <w:bCs w:val="0"/>
                      <w:sz w:val="21"/>
                      <w:szCs w:val="21"/>
                    </w:rPr>
                    <w:t>-N</w:t>
                  </w:r>
                </w:p>
              </w:tc>
            </w:tr>
            <w:tr w14:paraId="2ED1B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111" w:type="pct"/>
                  <w:vMerge w:val="restart"/>
                  <w:tcBorders>
                    <w:tl2br w:val="nil"/>
                    <w:tr2bl w:val="nil"/>
                  </w:tcBorders>
                  <w:vAlign w:val="center"/>
                </w:tcPr>
                <w:p w14:paraId="1E7000C1">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生</w:t>
                  </w:r>
                  <w:r>
                    <w:rPr>
                      <w:rFonts w:hint="eastAsia" w:ascii="Times New Roman" w:hAnsi="Times New Roman" w:eastAsia="宋体"/>
                      <w:b w:val="0"/>
                      <w:bCs w:val="0"/>
                      <w:sz w:val="21"/>
                      <w:szCs w:val="21"/>
                      <w:lang w:val="en-US" w:eastAsia="zh-CN"/>
                    </w:rPr>
                    <w:t>活</w:t>
                  </w:r>
                  <w:r>
                    <w:rPr>
                      <w:rFonts w:hint="eastAsia" w:ascii="Times New Roman" w:hAnsi="Times New Roman" w:eastAsia="宋体"/>
                      <w:b w:val="0"/>
                      <w:bCs w:val="0"/>
                      <w:sz w:val="21"/>
                      <w:szCs w:val="21"/>
                    </w:rPr>
                    <w:t>污水</w:t>
                  </w:r>
                  <w:r>
                    <w:rPr>
                      <w:rFonts w:hint="eastAsia" w:ascii="Times New Roman" w:hAnsi="Times New Roman" w:eastAsia="宋体"/>
                      <w:b w:val="0"/>
                      <w:bCs w:val="0"/>
                      <w:sz w:val="21"/>
                      <w:szCs w:val="21"/>
                      <w:lang w:val="en-US" w:eastAsia="zh-CN"/>
                    </w:rPr>
                    <w:t>270</w:t>
                  </w:r>
                  <w:r>
                    <w:rPr>
                      <w:rFonts w:ascii="Times New Roman" w:hAnsi="Times New Roman" w:eastAsia="宋体"/>
                      <w:b w:val="0"/>
                      <w:bCs w:val="0"/>
                      <w:sz w:val="21"/>
                      <w:szCs w:val="21"/>
                    </w:rPr>
                    <w:t>m³/a</w:t>
                  </w:r>
                </w:p>
              </w:tc>
              <w:tc>
                <w:tcPr>
                  <w:tcW w:w="1115" w:type="pct"/>
                  <w:tcBorders>
                    <w:tl2br w:val="nil"/>
                    <w:tr2bl w:val="nil"/>
                  </w:tcBorders>
                  <w:vAlign w:val="center"/>
                </w:tcPr>
                <w:p w14:paraId="16260BCF">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排放浓度</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mg/L</w:t>
                  </w:r>
                  <w:r>
                    <w:rPr>
                      <w:rFonts w:hint="eastAsia" w:ascii="Times New Roman" w:hAnsi="Times New Roman" w:eastAsia="宋体"/>
                      <w:b w:val="0"/>
                      <w:bCs w:val="0"/>
                      <w:sz w:val="21"/>
                      <w:szCs w:val="21"/>
                    </w:rPr>
                    <w:t>）</w:t>
                  </w:r>
                </w:p>
              </w:tc>
              <w:tc>
                <w:tcPr>
                  <w:tcW w:w="792" w:type="pct"/>
                  <w:tcBorders>
                    <w:tl2br w:val="nil"/>
                    <w:tr2bl w:val="nil"/>
                  </w:tcBorders>
                  <w:vAlign w:val="center"/>
                </w:tcPr>
                <w:p w14:paraId="4C3C124A">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350</w:t>
                  </w:r>
                </w:p>
              </w:tc>
              <w:tc>
                <w:tcPr>
                  <w:tcW w:w="707" w:type="pct"/>
                  <w:tcBorders>
                    <w:tl2br w:val="nil"/>
                    <w:tr2bl w:val="nil"/>
                  </w:tcBorders>
                  <w:vAlign w:val="center"/>
                </w:tcPr>
                <w:p w14:paraId="0F9E629A">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200</w:t>
                  </w:r>
                </w:p>
              </w:tc>
              <w:tc>
                <w:tcPr>
                  <w:tcW w:w="679" w:type="pct"/>
                  <w:tcBorders>
                    <w:tl2br w:val="nil"/>
                    <w:tr2bl w:val="nil"/>
                  </w:tcBorders>
                  <w:vAlign w:val="center"/>
                </w:tcPr>
                <w:p w14:paraId="05A56EC4">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250</w:t>
                  </w:r>
                </w:p>
              </w:tc>
              <w:tc>
                <w:tcPr>
                  <w:tcW w:w="594" w:type="pct"/>
                  <w:tcBorders>
                    <w:tl2br w:val="nil"/>
                    <w:tr2bl w:val="nil"/>
                  </w:tcBorders>
                  <w:vAlign w:val="center"/>
                </w:tcPr>
                <w:p w14:paraId="7FF81699">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30</w:t>
                  </w:r>
                </w:p>
              </w:tc>
            </w:tr>
            <w:tr w14:paraId="543C9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pct"/>
                  <w:vMerge w:val="continue"/>
                  <w:tcBorders>
                    <w:tl2br w:val="nil"/>
                    <w:tr2bl w:val="nil"/>
                  </w:tcBorders>
                  <w:vAlign w:val="center"/>
                </w:tcPr>
                <w:p w14:paraId="50051D09">
                  <w:pPr>
                    <w:spacing w:line="240" w:lineRule="auto"/>
                    <w:ind w:firstLine="0" w:firstLineChars="0"/>
                    <w:jc w:val="center"/>
                    <w:rPr>
                      <w:rFonts w:ascii="Times New Roman" w:hAnsi="Times New Roman" w:eastAsia="宋体"/>
                      <w:b w:val="0"/>
                      <w:bCs w:val="0"/>
                      <w:sz w:val="21"/>
                      <w:szCs w:val="21"/>
                    </w:rPr>
                  </w:pPr>
                </w:p>
              </w:tc>
              <w:tc>
                <w:tcPr>
                  <w:tcW w:w="1115" w:type="pct"/>
                  <w:tcBorders>
                    <w:tl2br w:val="nil"/>
                    <w:tr2bl w:val="nil"/>
                  </w:tcBorders>
                  <w:vAlign w:val="center"/>
                </w:tcPr>
                <w:p w14:paraId="359A9257">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排放量</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rPr>
                    <w:t>）</w:t>
                  </w:r>
                </w:p>
              </w:tc>
              <w:tc>
                <w:tcPr>
                  <w:tcW w:w="792" w:type="pct"/>
                  <w:tcBorders>
                    <w:tl2br w:val="nil"/>
                    <w:tr2bl w:val="nil"/>
                  </w:tcBorders>
                  <w:vAlign w:val="center"/>
                </w:tcPr>
                <w:p w14:paraId="7A5C4E72">
                  <w:pPr>
                    <w:spacing w:line="240" w:lineRule="auto"/>
                    <w:ind w:firstLine="0" w:firstLineChars="0"/>
                    <w:jc w:val="center"/>
                    <w:rPr>
                      <w:rFonts w:hint="eastAsia" w:ascii="Times New Roman" w:hAnsi="Times New Roman" w:eastAsia="宋体"/>
                      <w:b w:val="0"/>
                      <w:bCs w:val="0"/>
                      <w:sz w:val="21"/>
                      <w:szCs w:val="21"/>
                      <w:lang w:eastAsia="zh-CN"/>
                    </w:rPr>
                  </w:pPr>
                  <w:r>
                    <w:rPr>
                      <w:rFonts w:hint="eastAsia" w:ascii="Times New Roman" w:hAnsi="Times New Roman" w:eastAsia="宋体"/>
                      <w:b w:val="0"/>
                      <w:bCs w:val="0"/>
                      <w:sz w:val="21"/>
                      <w:szCs w:val="21"/>
                    </w:rPr>
                    <w:t>0.</w:t>
                  </w:r>
                  <w:r>
                    <w:rPr>
                      <w:rFonts w:hint="eastAsia" w:ascii="Times New Roman" w:hAnsi="Times New Roman" w:eastAsia="宋体"/>
                      <w:b w:val="0"/>
                      <w:bCs w:val="0"/>
                      <w:sz w:val="21"/>
                      <w:szCs w:val="21"/>
                      <w:lang w:val="en-US" w:eastAsia="zh-CN"/>
                    </w:rPr>
                    <w:t>1</w:t>
                  </w:r>
                </w:p>
              </w:tc>
              <w:tc>
                <w:tcPr>
                  <w:tcW w:w="707" w:type="pct"/>
                  <w:tcBorders>
                    <w:tl2br w:val="nil"/>
                    <w:tr2bl w:val="nil"/>
                  </w:tcBorders>
                  <w:vAlign w:val="center"/>
                </w:tcPr>
                <w:p w14:paraId="0B75DE67">
                  <w:pPr>
                    <w:spacing w:line="240" w:lineRule="auto"/>
                    <w:ind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rPr>
                    <w:t>0.</w:t>
                  </w:r>
                  <w:r>
                    <w:rPr>
                      <w:rFonts w:hint="eastAsia" w:ascii="Times New Roman" w:hAnsi="Times New Roman" w:eastAsia="宋体"/>
                      <w:b w:val="0"/>
                      <w:bCs w:val="0"/>
                      <w:sz w:val="21"/>
                      <w:szCs w:val="21"/>
                      <w:lang w:val="en-US" w:eastAsia="zh-CN"/>
                    </w:rPr>
                    <w:t>06</w:t>
                  </w:r>
                </w:p>
              </w:tc>
              <w:tc>
                <w:tcPr>
                  <w:tcW w:w="679" w:type="pct"/>
                  <w:tcBorders>
                    <w:tl2br w:val="nil"/>
                    <w:tr2bl w:val="nil"/>
                  </w:tcBorders>
                  <w:vAlign w:val="center"/>
                </w:tcPr>
                <w:p w14:paraId="4D231580">
                  <w:pPr>
                    <w:spacing w:line="240" w:lineRule="auto"/>
                    <w:ind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rPr>
                    <w:t>0.</w:t>
                  </w:r>
                  <w:r>
                    <w:rPr>
                      <w:rFonts w:hint="eastAsia" w:ascii="Times New Roman" w:hAnsi="Times New Roman" w:eastAsia="宋体"/>
                      <w:b w:val="0"/>
                      <w:bCs w:val="0"/>
                      <w:sz w:val="21"/>
                      <w:szCs w:val="21"/>
                      <w:lang w:val="en-US" w:eastAsia="zh-CN"/>
                    </w:rPr>
                    <w:t>07</w:t>
                  </w:r>
                </w:p>
              </w:tc>
              <w:tc>
                <w:tcPr>
                  <w:tcW w:w="594" w:type="pct"/>
                  <w:tcBorders>
                    <w:tl2br w:val="nil"/>
                    <w:tr2bl w:val="nil"/>
                  </w:tcBorders>
                  <w:vAlign w:val="center"/>
                </w:tcPr>
                <w:p w14:paraId="1191FB5C">
                  <w:pPr>
                    <w:spacing w:line="240" w:lineRule="auto"/>
                    <w:ind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rPr>
                    <w:t>0.0</w:t>
                  </w:r>
                  <w:r>
                    <w:rPr>
                      <w:rFonts w:hint="eastAsia" w:ascii="Times New Roman" w:hAnsi="Times New Roman" w:eastAsia="宋体"/>
                      <w:b w:val="0"/>
                      <w:bCs w:val="0"/>
                      <w:sz w:val="21"/>
                      <w:szCs w:val="21"/>
                      <w:lang w:val="en-US" w:eastAsia="zh-CN"/>
                    </w:rPr>
                    <w:t>08</w:t>
                  </w:r>
                </w:p>
              </w:tc>
            </w:tr>
            <w:tr w14:paraId="28E2B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26" w:type="pct"/>
                  <w:gridSpan w:val="2"/>
                  <w:tcBorders>
                    <w:tl2br w:val="nil"/>
                    <w:tr2bl w:val="nil"/>
                  </w:tcBorders>
                  <w:vAlign w:val="center"/>
                </w:tcPr>
                <w:p w14:paraId="218AD259">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《污水综合排放标准》（</w:t>
                  </w:r>
                  <w:r>
                    <w:rPr>
                      <w:rFonts w:ascii="Times New Roman" w:hAnsi="Times New Roman" w:eastAsia="宋体"/>
                      <w:b w:val="0"/>
                      <w:bCs w:val="0"/>
                      <w:sz w:val="21"/>
                      <w:szCs w:val="21"/>
                    </w:rPr>
                    <w:t>GB8978-1996</w:t>
                  </w:r>
                  <w:r>
                    <w:rPr>
                      <w:rFonts w:hint="eastAsia" w:ascii="Times New Roman" w:hAnsi="Times New Roman" w:eastAsia="宋体"/>
                      <w:b w:val="0"/>
                      <w:bCs w:val="0"/>
                      <w:sz w:val="21"/>
                      <w:szCs w:val="21"/>
                    </w:rPr>
                    <w:t>）表</w:t>
                  </w:r>
                  <w:r>
                    <w:rPr>
                      <w:rFonts w:ascii="Times New Roman" w:hAnsi="Times New Roman" w:eastAsia="宋体"/>
                      <w:b w:val="0"/>
                      <w:bCs w:val="0"/>
                      <w:sz w:val="21"/>
                      <w:szCs w:val="21"/>
                    </w:rPr>
                    <w:t>4</w:t>
                  </w:r>
                  <w:r>
                    <w:rPr>
                      <w:rFonts w:hint="eastAsia" w:ascii="Times New Roman" w:hAnsi="Times New Roman" w:eastAsia="宋体"/>
                      <w:b w:val="0"/>
                      <w:bCs w:val="0"/>
                      <w:sz w:val="21"/>
                      <w:szCs w:val="21"/>
                    </w:rPr>
                    <w:t>中三级标准</w:t>
                  </w:r>
                </w:p>
              </w:tc>
              <w:tc>
                <w:tcPr>
                  <w:tcW w:w="792" w:type="pct"/>
                  <w:tcBorders>
                    <w:tl2br w:val="nil"/>
                    <w:tr2bl w:val="nil"/>
                  </w:tcBorders>
                  <w:vAlign w:val="center"/>
                </w:tcPr>
                <w:p w14:paraId="50A7411F">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500</w:t>
                  </w:r>
                </w:p>
              </w:tc>
              <w:tc>
                <w:tcPr>
                  <w:tcW w:w="707" w:type="pct"/>
                  <w:tcBorders>
                    <w:tl2br w:val="nil"/>
                    <w:tr2bl w:val="nil"/>
                  </w:tcBorders>
                  <w:vAlign w:val="center"/>
                </w:tcPr>
                <w:p w14:paraId="5BDE7410">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300</w:t>
                  </w:r>
                </w:p>
              </w:tc>
              <w:tc>
                <w:tcPr>
                  <w:tcW w:w="679" w:type="pct"/>
                  <w:tcBorders>
                    <w:tl2br w:val="nil"/>
                    <w:tr2bl w:val="nil"/>
                  </w:tcBorders>
                  <w:vAlign w:val="center"/>
                </w:tcPr>
                <w:p w14:paraId="1ACAE84A">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400</w:t>
                  </w:r>
                </w:p>
              </w:tc>
              <w:tc>
                <w:tcPr>
                  <w:tcW w:w="594" w:type="pct"/>
                  <w:tcBorders>
                    <w:tl2br w:val="nil"/>
                    <w:tr2bl w:val="nil"/>
                  </w:tcBorders>
                  <w:vAlign w:val="center"/>
                </w:tcPr>
                <w:p w14:paraId="597D1E67">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w:t>
                  </w:r>
                </w:p>
              </w:tc>
            </w:tr>
          </w:tbl>
          <w:p w14:paraId="77E233F0">
            <w:pPr>
              <w:keepNext w:val="0"/>
              <w:keepLines w:val="0"/>
              <w:pageBreakBefore w:val="0"/>
              <w:widowControl/>
              <w:kinsoku/>
              <w:wordWrap/>
              <w:overflowPunct/>
              <w:topLinePunct w:val="0"/>
              <w:autoSpaceDE/>
              <w:autoSpaceDN/>
              <w:bidi w:val="0"/>
              <w:adjustRightInd/>
              <w:snapToGrid/>
              <w:spacing w:before="157" w:beforeLines="50" w:line="360" w:lineRule="auto"/>
              <w:ind w:firstLine="560"/>
              <w:jc w:val="left"/>
              <w:textAlignment w:val="auto"/>
              <w:rPr>
                <w:rFonts w:hint="default" w:ascii="Times New Roman" w:hAnsi="Times New Roman" w:eastAsia="宋体"/>
                <w:b w:val="0"/>
                <w:bCs w:val="0"/>
                <w:sz w:val="21"/>
                <w:szCs w:val="21"/>
                <w:lang w:val="en-GB" w:eastAsia="zh-CN"/>
              </w:rPr>
            </w:pPr>
            <w:r>
              <w:rPr>
                <w:rFonts w:hint="eastAsia" w:ascii="Times New Roman" w:hAnsi="Times New Roman" w:eastAsia="宋体"/>
                <w:b w:val="0"/>
                <w:bCs w:val="0"/>
                <w:sz w:val="21"/>
                <w:szCs w:val="21"/>
              </w:rPr>
              <w:t>综上合计，</w:t>
            </w:r>
            <w:r>
              <w:rPr>
                <w:rFonts w:hint="eastAsia" w:ascii="Times New Roman" w:hAnsi="Times New Roman" w:eastAsia="宋体"/>
                <w:b w:val="0"/>
                <w:bCs w:val="0"/>
                <w:sz w:val="21"/>
                <w:szCs w:val="21"/>
                <w:lang w:val="en-US" w:eastAsia="zh-CN"/>
              </w:rPr>
              <w:t>本项目</w:t>
            </w:r>
            <w:r>
              <w:rPr>
                <w:rFonts w:hint="eastAsia" w:ascii="Times New Roman" w:hAnsi="Times New Roman" w:eastAsia="宋体"/>
                <w:b w:val="0"/>
                <w:bCs w:val="0"/>
                <w:sz w:val="21"/>
                <w:szCs w:val="21"/>
              </w:rPr>
              <w:t>废水</w:t>
            </w:r>
            <w:r>
              <w:rPr>
                <w:rFonts w:hint="eastAsia" w:ascii="Times New Roman" w:hAnsi="Times New Roman" w:eastAsia="宋体"/>
                <w:b w:val="0"/>
                <w:bCs w:val="0"/>
                <w:sz w:val="21"/>
                <w:szCs w:val="21"/>
                <w:lang w:val="en-US" w:eastAsia="zh-CN"/>
              </w:rPr>
              <w:t>最终</w:t>
            </w:r>
            <w:r>
              <w:rPr>
                <w:rFonts w:hint="eastAsia" w:ascii="Times New Roman" w:hAnsi="Times New Roman" w:eastAsia="宋体"/>
                <w:b w:val="0"/>
                <w:bCs w:val="0"/>
                <w:sz w:val="21"/>
                <w:szCs w:val="21"/>
              </w:rPr>
              <w:t>排至市政管网，最终由</w:t>
            </w:r>
            <w:r>
              <w:rPr>
                <w:rFonts w:hint="eastAsia" w:ascii="Times New Roman" w:hAnsi="Times New Roman" w:eastAsia="宋体"/>
                <w:b w:val="0"/>
                <w:bCs w:val="0"/>
                <w:sz w:val="21"/>
                <w:szCs w:val="21"/>
                <w:lang w:val="en-US" w:eastAsia="zh-CN"/>
              </w:rPr>
              <w:t>北经开区污水处理厂</w:t>
            </w:r>
            <w:r>
              <w:rPr>
                <w:rFonts w:ascii="Times New Roman" w:hAnsi="Times New Roman" w:eastAsia="宋体"/>
                <w:b w:val="0"/>
                <w:bCs w:val="0"/>
                <w:sz w:val="21"/>
                <w:szCs w:val="21"/>
              </w:rPr>
              <w:t>处理</w:t>
            </w:r>
            <w:r>
              <w:rPr>
                <w:rFonts w:hint="eastAsia" w:ascii="Times New Roman" w:hAnsi="Times New Roman" w:eastAsia="宋体"/>
                <w:b w:val="0"/>
                <w:bCs w:val="0"/>
                <w:sz w:val="21"/>
                <w:szCs w:val="21"/>
              </w:rPr>
              <w:t>，各污染物浓度满足《污水综合排放标准》（GB8978-1996）表4中三级标准要求。</w:t>
            </w:r>
          </w:p>
          <w:p w14:paraId="1B095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sz w:val="21"/>
                <w:szCs w:val="21"/>
                <w:lang w:val="en-GB" w:eastAsia="zh-CN"/>
              </w:rPr>
            </w:pPr>
            <w:r>
              <w:rPr>
                <w:rFonts w:hint="eastAsia" w:ascii="黑体" w:hAnsi="黑体" w:eastAsia="黑体" w:cs="黑体"/>
                <w:b w:val="0"/>
                <w:bCs w:val="0"/>
                <w:sz w:val="21"/>
                <w:szCs w:val="21"/>
                <w:lang w:val="en-GB" w:eastAsia="zh-CN"/>
              </w:rPr>
              <w:t>表</w:t>
            </w:r>
            <w:r>
              <w:rPr>
                <w:rFonts w:hint="eastAsia" w:ascii="黑体" w:hAnsi="黑体" w:eastAsia="黑体" w:cs="黑体"/>
                <w:b w:val="0"/>
                <w:bCs w:val="0"/>
                <w:sz w:val="21"/>
                <w:szCs w:val="21"/>
                <w:lang w:val="en-US" w:eastAsia="zh-CN"/>
              </w:rPr>
              <w:t>4-6</w:t>
            </w:r>
            <w:r>
              <w:rPr>
                <w:rFonts w:hint="eastAsia" w:ascii="黑体" w:hAnsi="黑体" w:eastAsia="黑体" w:cs="黑体"/>
                <w:b w:val="0"/>
                <w:bCs w:val="0"/>
                <w:sz w:val="21"/>
                <w:szCs w:val="21"/>
                <w:lang w:val="en-GB" w:eastAsia="zh-CN"/>
              </w:rPr>
              <w:t xml:space="preserve">  项目废水类别、污染物种类、排放形式及污染防治设施一览表</w:t>
            </w:r>
          </w:p>
          <w:tbl>
            <w:tblPr>
              <w:tblStyle w:val="30"/>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40"/>
              <w:gridCol w:w="756"/>
              <w:gridCol w:w="938"/>
              <w:gridCol w:w="962"/>
              <w:gridCol w:w="678"/>
              <w:gridCol w:w="1194"/>
              <w:gridCol w:w="970"/>
              <w:gridCol w:w="848"/>
              <w:gridCol w:w="952"/>
              <w:gridCol w:w="741"/>
            </w:tblGrid>
            <w:tr w14:paraId="302F0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5" w:type="pct"/>
                  <w:vMerge w:val="restart"/>
                  <w:tcBorders>
                    <w:tl2br w:val="nil"/>
                    <w:tr2bl w:val="nil"/>
                  </w:tcBorders>
                  <w:shd w:val="clear" w:color="auto" w:fill="auto"/>
                  <w:vAlign w:val="center"/>
                </w:tcPr>
                <w:p w14:paraId="7FE7C698">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序号</w:t>
                  </w:r>
                </w:p>
              </w:tc>
              <w:tc>
                <w:tcPr>
                  <w:tcW w:w="451" w:type="pct"/>
                  <w:vMerge w:val="restart"/>
                  <w:tcBorders>
                    <w:tl2br w:val="nil"/>
                    <w:tr2bl w:val="nil"/>
                  </w:tcBorders>
                  <w:shd w:val="clear" w:color="auto" w:fill="auto"/>
                  <w:vAlign w:val="center"/>
                </w:tcPr>
                <w:p w14:paraId="0B34DA07">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废水类别</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a</w:t>
                  </w:r>
                  <w:r>
                    <w:rPr>
                      <w:rFonts w:hint="eastAsia" w:ascii="Times New Roman" w:hAnsi="Times New Roman" w:eastAsia="宋体"/>
                      <w:b w:val="0"/>
                      <w:bCs w:val="0"/>
                      <w:sz w:val="21"/>
                      <w:szCs w:val="21"/>
                    </w:rPr>
                    <w:t>）</w:t>
                  </w:r>
                </w:p>
              </w:tc>
              <w:tc>
                <w:tcPr>
                  <w:tcW w:w="504" w:type="pct"/>
                  <w:vMerge w:val="restart"/>
                  <w:tcBorders>
                    <w:tl2br w:val="nil"/>
                    <w:tr2bl w:val="nil"/>
                  </w:tcBorders>
                  <w:shd w:val="clear" w:color="auto" w:fill="auto"/>
                  <w:vAlign w:val="center"/>
                </w:tcPr>
                <w:p w14:paraId="1AA892F3">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污染物种类</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b</w:t>
                  </w:r>
                  <w:r>
                    <w:rPr>
                      <w:rFonts w:hint="eastAsia" w:ascii="Times New Roman" w:hAnsi="Times New Roman" w:eastAsia="宋体"/>
                      <w:b w:val="0"/>
                      <w:bCs w:val="0"/>
                      <w:sz w:val="21"/>
                      <w:szCs w:val="21"/>
                    </w:rPr>
                    <w:t>）</w:t>
                  </w:r>
                </w:p>
              </w:tc>
              <w:tc>
                <w:tcPr>
                  <w:tcW w:w="572" w:type="pct"/>
                  <w:vMerge w:val="restart"/>
                  <w:tcBorders>
                    <w:tl2br w:val="nil"/>
                    <w:tr2bl w:val="nil"/>
                  </w:tcBorders>
                  <w:shd w:val="clear" w:color="auto" w:fill="auto"/>
                  <w:vAlign w:val="center"/>
                </w:tcPr>
                <w:p w14:paraId="14D33027">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排放去向</w:t>
                  </w:r>
                </w:p>
              </w:tc>
              <w:tc>
                <w:tcPr>
                  <w:tcW w:w="405" w:type="pct"/>
                  <w:vMerge w:val="restart"/>
                  <w:tcBorders>
                    <w:tl2br w:val="nil"/>
                    <w:tr2bl w:val="nil"/>
                  </w:tcBorders>
                  <w:shd w:val="clear" w:color="auto" w:fill="auto"/>
                  <w:vAlign w:val="center"/>
                </w:tcPr>
                <w:p w14:paraId="15817752">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排放规律</w:t>
                  </w:r>
                </w:p>
              </w:tc>
              <w:tc>
                <w:tcPr>
                  <w:tcW w:w="1791" w:type="pct"/>
                  <w:gridSpan w:val="3"/>
                  <w:tcBorders>
                    <w:tl2br w:val="nil"/>
                    <w:tr2bl w:val="nil"/>
                  </w:tcBorders>
                  <w:shd w:val="clear" w:color="auto" w:fill="auto"/>
                  <w:vAlign w:val="center"/>
                </w:tcPr>
                <w:p w14:paraId="7F32B5B6">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污染治理设施</w:t>
                  </w:r>
                </w:p>
              </w:tc>
              <w:tc>
                <w:tcPr>
                  <w:tcW w:w="566" w:type="pct"/>
                  <w:vMerge w:val="restart"/>
                  <w:tcBorders>
                    <w:tl2br w:val="nil"/>
                    <w:tr2bl w:val="nil"/>
                  </w:tcBorders>
                  <w:shd w:val="clear" w:color="auto" w:fill="auto"/>
                  <w:vAlign w:val="center"/>
                </w:tcPr>
                <w:p w14:paraId="440EA53E">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排放口设置是否符合要求</w:t>
                  </w:r>
                </w:p>
              </w:tc>
              <w:tc>
                <w:tcPr>
                  <w:tcW w:w="442" w:type="pct"/>
                  <w:vMerge w:val="restart"/>
                  <w:tcBorders>
                    <w:tl2br w:val="nil"/>
                    <w:tr2bl w:val="nil"/>
                  </w:tcBorders>
                  <w:shd w:val="clear" w:color="auto" w:fill="auto"/>
                  <w:vAlign w:val="center"/>
                </w:tcPr>
                <w:p w14:paraId="25439991">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排放口类型</w:t>
                  </w:r>
                </w:p>
              </w:tc>
            </w:tr>
            <w:tr w14:paraId="3D853D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4" w:hRule="atLeast"/>
                <w:jc w:val="center"/>
              </w:trPr>
              <w:tc>
                <w:tcPr>
                  <w:tcW w:w="265" w:type="pct"/>
                  <w:vMerge w:val="continue"/>
                  <w:tcBorders>
                    <w:tl2br w:val="nil"/>
                    <w:tr2bl w:val="nil"/>
                  </w:tcBorders>
                  <w:shd w:val="clear" w:color="auto" w:fill="auto"/>
                  <w:textDirection w:val="tbRlV"/>
                  <w:vAlign w:val="center"/>
                </w:tcPr>
                <w:p w14:paraId="0EA093E0">
                  <w:pPr>
                    <w:spacing w:line="240" w:lineRule="auto"/>
                    <w:ind w:firstLine="0" w:firstLineChars="0"/>
                    <w:jc w:val="center"/>
                    <w:rPr>
                      <w:rFonts w:ascii="Times New Roman" w:hAnsi="Times New Roman" w:eastAsia="宋体"/>
                      <w:b w:val="0"/>
                      <w:bCs w:val="0"/>
                      <w:sz w:val="21"/>
                      <w:szCs w:val="21"/>
                    </w:rPr>
                  </w:pPr>
                </w:p>
              </w:tc>
              <w:tc>
                <w:tcPr>
                  <w:tcW w:w="451" w:type="pct"/>
                  <w:vMerge w:val="continue"/>
                  <w:tcBorders>
                    <w:tl2br w:val="nil"/>
                    <w:tr2bl w:val="nil"/>
                  </w:tcBorders>
                  <w:shd w:val="clear" w:color="auto" w:fill="auto"/>
                  <w:vAlign w:val="center"/>
                </w:tcPr>
                <w:p w14:paraId="5C27C871">
                  <w:pPr>
                    <w:spacing w:line="240" w:lineRule="auto"/>
                    <w:ind w:firstLine="0" w:firstLineChars="0"/>
                    <w:jc w:val="center"/>
                    <w:rPr>
                      <w:rFonts w:ascii="Times New Roman" w:hAnsi="Times New Roman" w:eastAsia="宋体"/>
                      <w:b w:val="0"/>
                      <w:bCs w:val="0"/>
                      <w:sz w:val="21"/>
                      <w:szCs w:val="21"/>
                    </w:rPr>
                  </w:pPr>
                </w:p>
              </w:tc>
              <w:tc>
                <w:tcPr>
                  <w:tcW w:w="504" w:type="pct"/>
                  <w:vMerge w:val="continue"/>
                  <w:tcBorders>
                    <w:tl2br w:val="nil"/>
                    <w:tr2bl w:val="nil"/>
                  </w:tcBorders>
                  <w:shd w:val="clear" w:color="auto" w:fill="auto"/>
                  <w:vAlign w:val="center"/>
                </w:tcPr>
                <w:p w14:paraId="11A10E8B">
                  <w:pPr>
                    <w:spacing w:line="240" w:lineRule="auto"/>
                    <w:ind w:firstLine="0" w:firstLineChars="0"/>
                    <w:jc w:val="center"/>
                    <w:rPr>
                      <w:rFonts w:ascii="Times New Roman" w:hAnsi="Times New Roman" w:eastAsia="宋体"/>
                      <w:b w:val="0"/>
                      <w:bCs w:val="0"/>
                      <w:sz w:val="21"/>
                      <w:szCs w:val="21"/>
                    </w:rPr>
                  </w:pPr>
                </w:p>
              </w:tc>
              <w:tc>
                <w:tcPr>
                  <w:tcW w:w="572" w:type="pct"/>
                  <w:vMerge w:val="continue"/>
                  <w:tcBorders>
                    <w:tl2br w:val="nil"/>
                    <w:tr2bl w:val="nil"/>
                  </w:tcBorders>
                  <w:shd w:val="clear" w:color="auto" w:fill="auto"/>
                  <w:textDirection w:val="tbRlV"/>
                  <w:vAlign w:val="center"/>
                </w:tcPr>
                <w:p w14:paraId="02604886">
                  <w:pPr>
                    <w:spacing w:line="240" w:lineRule="auto"/>
                    <w:ind w:firstLine="0" w:firstLineChars="0"/>
                    <w:jc w:val="center"/>
                    <w:rPr>
                      <w:rFonts w:ascii="Times New Roman" w:hAnsi="Times New Roman" w:eastAsia="宋体"/>
                      <w:b w:val="0"/>
                      <w:bCs w:val="0"/>
                      <w:sz w:val="21"/>
                      <w:szCs w:val="21"/>
                    </w:rPr>
                  </w:pPr>
                </w:p>
              </w:tc>
              <w:tc>
                <w:tcPr>
                  <w:tcW w:w="405" w:type="pct"/>
                  <w:vMerge w:val="continue"/>
                  <w:tcBorders>
                    <w:tl2br w:val="nil"/>
                    <w:tr2bl w:val="nil"/>
                  </w:tcBorders>
                  <w:shd w:val="clear" w:color="auto" w:fill="auto"/>
                  <w:textDirection w:val="tbRlV"/>
                  <w:vAlign w:val="center"/>
                </w:tcPr>
                <w:p w14:paraId="177452E9">
                  <w:pPr>
                    <w:spacing w:line="240" w:lineRule="auto"/>
                    <w:ind w:firstLine="0" w:firstLineChars="0"/>
                    <w:jc w:val="center"/>
                    <w:rPr>
                      <w:rFonts w:ascii="Times New Roman" w:hAnsi="Times New Roman" w:eastAsia="宋体"/>
                      <w:b w:val="0"/>
                      <w:bCs w:val="0"/>
                      <w:sz w:val="21"/>
                      <w:szCs w:val="21"/>
                    </w:rPr>
                  </w:pPr>
                </w:p>
              </w:tc>
              <w:tc>
                <w:tcPr>
                  <w:tcW w:w="709" w:type="pct"/>
                  <w:tcBorders>
                    <w:tl2br w:val="nil"/>
                    <w:tr2bl w:val="nil"/>
                  </w:tcBorders>
                  <w:shd w:val="clear" w:color="auto" w:fill="auto"/>
                  <w:vAlign w:val="center"/>
                </w:tcPr>
                <w:p w14:paraId="17CC0942">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污染治理类型设施编号</w:t>
                  </w:r>
                </w:p>
              </w:tc>
              <w:tc>
                <w:tcPr>
                  <w:tcW w:w="577" w:type="pct"/>
                  <w:tcBorders>
                    <w:tl2br w:val="nil"/>
                    <w:tr2bl w:val="nil"/>
                  </w:tcBorders>
                  <w:shd w:val="clear" w:color="auto" w:fill="auto"/>
                  <w:vAlign w:val="center"/>
                </w:tcPr>
                <w:p w14:paraId="4ADE223B">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污染治理设施名称</w:t>
                  </w:r>
                </w:p>
              </w:tc>
              <w:tc>
                <w:tcPr>
                  <w:tcW w:w="504" w:type="pct"/>
                  <w:tcBorders>
                    <w:tl2br w:val="nil"/>
                    <w:tr2bl w:val="nil"/>
                  </w:tcBorders>
                  <w:shd w:val="clear" w:color="auto" w:fill="auto"/>
                  <w:vAlign w:val="center"/>
                </w:tcPr>
                <w:p w14:paraId="183D962D">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污染治理设施工艺</w:t>
                  </w:r>
                </w:p>
              </w:tc>
              <w:tc>
                <w:tcPr>
                  <w:tcW w:w="566" w:type="pct"/>
                  <w:vMerge w:val="continue"/>
                  <w:tcBorders>
                    <w:tl2br w:val="nil"/>
                    <w:tr2bl w:val="nil"/>
                  </w:tcBorders>
                  <w:shd w:val="clear" w:color="auto" w:fill="auto"/>
                  <w:vAlign w:val="center"/>
                </w:tcPr>
                <w:p w14:paraId="082DB400">
                  <w:pPr>
                    <w:spacing w:line="240" w:lineRule="auto"/>
                    <w:ind w:firstLine="0" w:firstLineChars="0"/>
                    <w:jc w:val="center"/>
                    <w:rPr>
                      <w:rFonts w:ascii="Times New Roman" w:hAnsi="Times New Roman" w:eastAsia="宋体"/>
                      <w:b w:val="0"/>
                      <w:bCs w:val="0"/>
                      <w:sz w:val="21"/>
                      <w:szCs w:val="21"/>
                    </w:rPr>
                  </w:pPr>
                </w:p>
              </w:tc>
              <w:tc>
                <w:tcPr>
                  <w:tcW w:w="442" w:type="pct"/>
                  <w:vMerge w:val="continue"/>
                  <w:tcBorders>
                    <w:tl2br w:val="nil"/>
                    <w:tr2bl w:val="nil"/>
                  </w:tcBorders>
                  <w:shd w:val="clear" w:color="auto" w:fill="auto"/>
                  <w:vAlign w:val="center"/>
                </w:tcPr>
                <w:p w14:paraId="4080C372">
                  <w:pPr>
                    <w:spacing w:line="240" w:lineRule="auto"/>
                    <w:ind w:firstLine="0" w:firstLineChars="0"/>
                    <w:jc w:val="center"/>
                    <w:rPr>
                      <w:rFonts w:ascii="Times New Roman" w:hAnsi="Times New Roman" w:eastAsia="宋体"/>
                      <w:b w:val="0"/>
                      <w:bCs w:val="0"/>
                      <w:sz w:val="21"/>
                      <w:szCs w:val="21"/>
                    </w:rPr>
                  </w:pPr>
                </w:p>
              </w:tc>
            </w:tr>
            <w:tr w14:paraId="6C0009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265" w:type="pct"/>
                  <w:tcBorders>
                    <w:tl2br w:val="nil"/>
                    <w:tr2bl w:val="nil"/>
                  </w:tcBorders>
                  <w:shd w:val="clear" w:color="auto" w:fill="auto"/>
                  <w:vAlign w:val="center"/>
                </w:tcPr>
                <w:p w14:paraId="114A5B48">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1</w:t>
                  </w:r>
                </w:p>
              </w:tc>
              <w:tc>
                <w:tcPr>
                  <w:tcW w:w="451" w:type="pct"/>
                  <w:tcBorders>
                    <w:tl2br w:val="nil"/>
                    <w:tr2bl w:val="nil"/>
                  </w:tcBorders>
                  <w:shd w:val="clear" w:color="auto" w:fill="auto"/>
                  <w:vAlign w:val="center"/>
                </w:tcPr>
                <w:p w14:paraId="0B2505CE">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生活污水</w:t>
                  </w:r>
                </w:p>
              </w:tc>
              <w:tc>
                <w:tcPr>
                  <w:tcW w:w="504" w:type="pct"/>
                  <w:tcBorders>
                    <w:tl2br w:val="nil"/>
                    <w:tr2bl w:val="nil"/>
                  </w:tcBorders>
                  <w:shd w:val="clear" w:color="auto" w:fill="auto"/>
                  <w:vAlign w:val="center"/>
                </w:tcPr>
                <w:p w14:paraId="0EF7BF09">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COD</w:t>
                  </w:r>
                  <w:r>
                    <w:rPr>
                      <w:rFonts w:hint="eastAsia" w:ascii="Times New Roman" w:hAnsi="Times New Roman" w:eastAsia="宋体"/>
                      <w:b w:val="0"/>
                      <w:bCs w:val="0"/>
                      <w:sz w:val="21"/>
                      <w:szCs w:val="21"/>
                    </w:rPr>
                    <w:t>、</w:t>
                  </w:r>
                  <w:r>
                    <w:rPr>
                      <w:rFonts w:ascii="Times New Roman" w:hAnsi="Times New Roman" w:eastAsia="宋体"/>
                      <w:b w:val="0"/>
                      <w:bCs w:val="0"/>
                      <w:sz w:val="21"/>
                      <w:szCs w:val="21"/>
                    </w:rPr>
                    <w:t>BOD</w:t>
                  </w:r>
                  <w:r>
                    <w:rPr>
                      <w:rFonts w:ascii="Times New Roman" w:hAnsi="Times New Roman" w:eastAsia="宋体"/>
                      <w:b w:val="0"/>
                      <w:bCs w:val="0"/>
                      <w:sz w:val="21"/>
                      <w:szCs w:val="21"/>
                      <w:vertAlign w:val="subscript"/>
                    </w:rPr>
                    <w:t>5</w:t>
                  </w:r>
                  <w:r>
                    <w:rPr>
                      <w:rFonts w:ascii="Times New Roman" w:hAnsi="Times New Roman" w:eastAsia="宋体"/>
                      <w:b w:val="0"/>
                      <w:bCs w:val="0"/>
                      <w:sz w:val="21"/>
                      <w:szCs w:val="21"/>
                    </w:rPr>
                    <w:t>、SS、氨氮</w:t>
                  </w:r>
                </w:p>
              </w:tc>
              <w:tc>
                <w:tcPr>
                  <w:tcW w:w="572" w:type="pct"/>
                  <w:tcBorders>
                    <w:tl2br w:val="nil"/>
                    <w:tr2bl w:val="nil"/>
                  </w:tcBorders>
                  <w:shd w:val="clear" w:color="auto" w:fill="auto"/>
                  <w:vAlign w:val="center"/>
                </w:tcPr>
                <w:p w14:paraId="75E78F30">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北经开区污水处理厂</w:t>
                  </w:r>
                  <w:r>
                    <w:rPr>
                      <w:rFonts w:ascii="Times New Roman" w:hAnsi="Times New Roman" w:eastAsia="宋体"/>
                      <w:b w:val="0"/>
                      <w:bCs w:val="0"/>
                      <w:sz w:val="21"/>
                      <w:szCs w:val="21"/>
                    </w:rPr>
                    <w:t>处理</w:t>
                  </w:r>
                </w:p>
              </w:tc>
              <w:tc>
                <w:tcPr>
                  <w:tcW w:w="405" w:type="pct"/>
                  <w:tcBorders>
                    <w:tl2br w:val="nil"/>
                    <w:tr2bl w:val="nil"/>
                  </w:tcBorders>
                  <w:shd w:val="clear" w:color="auto" w:fill="auto"/>
                  <w:vAlign w:val="center"/>
                </w:tcPr>
                <w:p w14:paraId="72256631">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间</w:t>
                  </w:r>
                  <w:r>
                    <w:rPr>
                      <w:rFonts w:hint="eastAsia" w:ascii="Times New Roman" w:hAnsi="Times New Roman" w:eastAsia="宋体"/>
                      <w:b w:val="0"/>
                      <w:bCs w:val="0"/>
                      <w:sz w:val="21"/>
                      <w:szCs w:val="21"/>
                      <w:lang w:val="en-US" w:eastAsia="zh-CN"/>
                    </w:rPr>
                    <w:t>歇</w:t>
                  </w:r>
                  <w:r>
                    <w:rPr>
                      <w:rFonts w:ascii="Times New Roman" w:hAnsi="Times New Roman" w:eastAsia="宋体"/>
                      <w:b w:val="0"/>
                      <w:bCs w:val="0"/>
                      <w:sz w:val="21"/>
                      <w:szCs w:val="21"/>
                    </w:rPr>
                    <w:t>排放</w:t>
                  </w:r>
                </w:p>
              </w:tc>
              <w:tc>
                <w:tcPr>
                  <w:tcW w:w="709" w:type="pct"/>
                  <w:tcBorders>
                    <w:tl2br w:val="nil"/>
                    <w:tr2bl w:val="nil"/>
                  </w:tcBorders>
                  <w:shd w:val="clear" w:color="auto" w:fill="auto"/>
                  <w:vAlign w:val="center"/>
                </w:tcPr>
                <w:p w14:paraId="19ADBBD2">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DW001</w:t>
                  </w:r>
                </w:p>
              </w:tc>
              <w:tc>
                <w:tcPr>
                  <w:tcW w:w="577" w:type="pct"/>
                  <w:tcBorders>
                    <w:tl2br w:val="nil"/>
                    <w:tr2bl w:val="nil"/>
                  </w:tcBorders>
                  <w:shd w:val="clear" w:color="auto" w:fill="auto"/>
                  <w:vAlign w:val="center"/>
                </w:tcPr>
                <w:p w14:paraId="2C6592B3">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w:t>
                  </w:r>
                </w:p>
              </w:tc>
              <w:tc>
                <w:tcPr>
                  <w:tcW w:w="504" w:type="pct"/>
                  <w:tcBorders>
                    <w:tl2br w:val="nil"/>
                    <w:tr2bl w:val="nil"/>
                  </w:tcBorders>
                  <w:shd w:val="clear" w:color="auto" w:fill="auto"/>
                  <w:vAlign w:val="center"/>
                </w:tcPr>
                <w:p w14:paraId="658CF050">
                  <w:pPr>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rPr>
                    <w:t>/</w:t>
                  </w:r>
                </w:p>
              </w:tc>
              <w:tc>
                <w:tcPr>
                  <w:tcW w:w="566" w:type="pct"/>
                  <w:tcBorders>
                    <w:tl2br w:val="nil"/>
                    <w:tr2bl w:val="nil"/>
                  </w:tcBorders>
                  <w:shd w:val="clear" w:color="auto" w:fill="auto"/>
                  <w:vAlign w:val="center"/>
                </w:tcPr>
                <w:p w14:paraId="598DD4A5">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是</w:t>
                  </w:r>
                </w:p>
              </w:tc>
              <w:tc>
                <w:tcPr>
                  <w:tcW w:w="442" w:type="pct"/>
                  <w:tcBorders>
                    <w:tl2br w:val="nil"/>
                    <w:tr2bl w:val="nil"/>
                  </w:tcBorders>
                  <w:shd w:val="clear" w:color="auto" w:fill="auto"/>
                  <w:vAlign w:val="center"/>
                </w:tcPr>
                <w:p w14:paraId="3A9C5466">
                  <w:pPr>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一般排放</w:t>
                  </w:r>
                </w:p>
              </w:tc>
            </w:tr>
          </w:tbl>
          <w:p w14:paraId="1E3F3B80">
            <w:pPr>
              <w:keepNext w:val="0"/>
              <w:keepLines w:val="0"/>
              <w:pageBreakBefore w:val="0"/>
              <w:widowControl/>
              <w:kinsoku/>
              <w:wordWrap/>
              <w:overflowPunct/>
              <w:topLinePunct w:val="0"/>
              <w:autoSpaceDE/>
              <w:autoSpaceDN/>
              <w:bidi w:val="0"/>
              <w:adjustRightInd/>
              <w:snapToGrid/>
              <w:spacing w:before="157" w:beforeLines="50"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（2）</w:t>
            </w:r>
            <w:r>
              <w:rPr>
                <w:rFonts w:ascii="Times New Roman" w:hAnsi="Times New Roman" w:eastAsia="宋体"/>
                <w:b w:val="0"/>
                <w:bCs w:val="0"/>
                <w:sz w:val="21"/>
                <w:szCs w:val="21"/>
              </w:rPr>
              <w:t>污水处理可依托性分析</w:t>
            </w:r>
          </w:p>
          <w:p w14:paraId="4144873E">
            <w:pPr>
              <w:keepNext w:val="0"/>
              <w:keepLines w:val="0"/>
              <w:pageBreakBefore w:val="0"/>
              <w:kinsoku/>
              <w:wordWrap/>
              <w:overflowPunct/>
              <w:topLinePunct w:val="0"/>
              <w:autoSpaceDE/>
              <w:autoSpaceDN/>
              <w:bidi w:val="0"/>
              <w:adjustRightInd/>
              <w:snapToGrid/>
              <w:spacing w:line="360" w:lineRule="auto"/>
              <w:ind w:firstLine="56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本项目位于第七师天北经济技术开发区（北区）支一路401号，北经开区污水处理厂</w:t>
            </w:r>
            <w:r>
              <w:rPr>
                <w:rFonts w:ascii="Times New Roman" w:hAnsi="Times New Roman" w:eastAsia="宋体"/>
                <w:b w:val="0"/>
                <w:bCs w:val="0"/>
                <w:sz w:val="21"/>
                <w:szCs w:val="21"/>
              </w:rPr>
              <w:t>位于</w:t>
            </w:r>
            <w:r>
              <w:rPr>
                <w:rFonts w:hint="eastAsia" w:ascii="Times New Roman" w:hAnsi="Times New Roman" w:eastAsia="宋体"/>
                <w:b w:val="0"/>
                <w:bCs w:val="0"/>
                <w:sz w:val="21"/>
                <w:szCs w:val="21"/>
              </w:rPr>
              <w:t>项目区东北侧</w:t>
            </w:r>
            <w:r>
              <w:rPr>
                <w:rFonts w:hint="eastAsia" w:ascii="Times New Roman" w:hAnsi="Times New Roman" w:eastAsia="宋体"/>
                <w:b w:val="0"/>
                <w:bCs w:val="0"/>
                <w:sz w:val="21"/>
                <w:szCs w:val="21"/>
                <w:lang w:val="en-US" w:eastAsia="zh-CN"/>
              </w:rPr>
              <w:t>2.5</w:t>
            </w:r>
            <w:r>
              <w:rPr>
                <w:rFonts w:hint="eastAsia" w:ascii="Times New Roman" w:hAnsi="Times New Roman" w:eastAsia="宋体"/>
                <w:b w:val="0"/>
                <w:bCs w:val="0"/>
                <w:sz w:val="21"/>
                <w:szCs w:val="21"/>
              </w:rPr>
              <w:t>km处</w:t>
            </w:r>
            <w:r>
              <w:rPr>
                <w:rFonts w:ascii="Times New Roman" w:hAnsi="Times New Roman" w:eastAsia="宋体"/>
                <w:b w:val="0"/>
                <w:bCs w:val="0"/>
                <w:sz w:val="21"/>
                <w:szCs w:val="21"/>
              </w:rPr>
              <w:t>。污水处理厂</w:t>
            </w:r>
            <w:r>
              <w:rPr>
                <w:rFonts w:hint="eastAsia" w:ascii="Times New Roman" w:hAnsi="Times New Roman" w:eastAsia="宋体"/>
                <w:b w:val="0"/>
                <w:bCs w:val="0"/>
                <w:sz w:val="21"/>
                <w:szCs w:val="21"/>
                <w:lang w:val="en-US" w:eastAsia="zh-CN"/>
              </w:rPr>
              <w:t>具有完善的污水</w:t>
            </w:r>
            <w:r>
              <w:rPr>
                <w:rFonts w:ascii="Times New Roman" w:hAnsi="Times New Roman" w:eastAsia="宋体"/>
                <w:b w:val="0"/>
                <w:bCs w:val="0"/>
                <w:sz w:val="21"/>
                <w:szCs w:val="21"/>
              </w:rPr>
              <w:t>处理工艺，处理后的废水</w:t>
            </w:r>
            <w:r>
              <w:rPr>
                <w:rFonts w:hint="eastAsia" w:ascii="Times New Roman" w:hAnsi="Times New Roman" w:eastAsia="宋体"/>
                <w:b w:val="0"/>
                <w:bCs w:val="0"/>
                <w:sz w:val="21"/>
                <w:szCs w:val="21"/>
                <w:lang w:val="en-US" w:eastAsia="zh-CN"/>
              </w:rPr>
              <w:t>可达到《城镇污水处理厂污染物排放标准》</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GB8918-2002</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一级A标准，处理后的水</w:t>
            </w:r>
            <w:r>
              <w:rPr>
                <w:rFonts w:ascii="Times New Roman" w:hAnsi="Times New Roman" w:eastAsia="宋体"/>
                <w:b w:val="0"/>
                <w:bCs w:val="0"/>
                <w:sz w:val="21"/>
                <w:szCs w:val="21"/>
              </w:rPr>
              <w:t>通过中水系统回用</w:t>
            </w:r>
            <w:r>
              <w:rPr>
                <w:rFonts w:hint="eastAsia" w:ascii="Times New Roman" w:hAnsi="Times New Roman" w:eastAsia="宋体"/>
                <w:b w:val="0"/>
                <w:bCs w:val="0"/>
                <w:sz w:val="21"/>
                <w:szCs w:val="21"/>
              </w:rPr>
              <w:t>。</w:t>
            </w:r>
          </w:p>
          <w:p w14:paraId="28C3CAC3">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ascii="Times New Roman" w:hAnsi="Times New Roman" w:eastAsia="宋体"/>
                <w:b w:val="0"/>
                <w:bCs w:val="0"/>
                <w:sz w:val="21"/>
                <w:szCs w:val="21"/>
              </w:rPr>
              <w:t>本项目产生的废水量符合污水处理厂</w:t>
            </w:r>
            <w:r>
              <w:rPr>
                <w:rFonts w:hint="eastAsia" w:ascii="Times New Roman" w:hAnsi="Times New Roman" w:eastAsia="宋体"/>
                <w:b w:val="0"/>
                <w:bCs w:val="0"/>
                <w:sz w:val="21"/>
                <w:szCs w:val="21"/>
                <w:lang w:eastAsia="zh-CN"/>
              </w:rPr>
              <w:t>接收</w:t>
            </w:r>
            <w:r>
              <w:rPr>
                <w:rFonts w:ascii="Times New Roman" w:hAnsi="Times New Roman" w:eastAsia="宋体"/>
                <w:b w:val="0"/>
                <w:bCs w:val="0"/>
                <w:sz w:val="21"/>
                <w:szCs w:val="21"/>
              </w:rPr>
              <w:t>污水水质的要求，</w:t>
            </w:r>
            <w:r>
              <w:rPr>
                <w:rFonts w:hint="eastAsia" w:ascii="Times New Roman" w:hAnsi="Times New Roman" w:eastAsia="宋体"/>
                <w:b w:val="0"/>
                <w:bCs w:val="0"/>
                <w:sz w:val="21"/>
                <w:szCs w:val="21"/>
              </w:rPr>
              <w:t>项目运营期间产生的废水总水量为</w:t>
            </w:r>
            <w:r>
              <w:rPr>
                <w:rFonts w:hint="eastAsia" w:ascii="Times New Roman" w:hAnsi="Times New Roman" w:eastAsia="宋体"/>
                <w:b w:val="0"/>
                <w:bCs w:val="0"/>
                <w:sz w:val="21"/>
                <w:szCs w:val="21"/>
                <w:lang w:val="en-US" w:eastAsia="zh-CN"/>
              </w:rPr>
              <w:t>270m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0.9m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/d</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天北经开区2023年已开始二期污水处理厂项目建设，建设规模20000m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/d</w:t>
            </w:r>
            <w:r>
              <w:rPr>
                <w:rFonts w:hint="eastAsia" w:ascii="Times New Roman" w:hAnsi="Times New Roman" w:eastAsia="宋体"/>
                <w:b w:val="0"/>
                <w:bCs w:val="0"/>
                <w:sz w:val="21"/>
                <w:szCs w:val="21"/>
                <w:lang w:val="en-US" w:eastAsia="zh-CN"/>
              </w:rPr>
              <w:t>，处理能力为730万m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目前年处理量为686.96万m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余量为43.04万m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远大于本项目270m</w:t>
            </w:r>
            <w:r>
              <w:rPr>
                <w:rFonts w:hint="eastAsia" w:ascii="Times New Roman" w:hAnsi="Times New Roman" w:eastAsia="宋体"/>
                <w:b w:val="0"/>
                <w:bCs w:val="0"/>
                <w:sz w:val="21"/>
                <w:szCs w:val="21"/>
                <w:vertAlign w:val="superscript"/>
                <w:lang w:val="en-US" w:eastAsia="zh-CN"/>
              </w:rPr>
              <w:t>3</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的</w:t>
            </w:r>
            <w:r>
              <w:rPr>
                <w:rFonts w:hint="eastAsia" w:ascii="Times New Roman" w:hAnsi="Times New Roman" w:eastAsia="宋体"/>
                <w:b w:val="0"/>
                <w:bCs w:val="0"/>
                <w:sz w:val="21"/>
                <w:szCs w:val="21"/>
                <w:lang w:val="en-US" w:eastAsia="zh-CN"/>
              </w:rPr>
              <w:t>污水量</w:t>
            </w:r>
            <w:r>
              <w:rPr>
                <w:rFonts w:ascii="Times New Roman" w:hAnsi="Times New Roman" w:eastAsia="宋体"/>
                <w:b w:val="0"/>
                <w:bCs w:val="0"/>
                <w:sz w:val="21"/>
                <w:szCs w:val="21"/>
              </w:rPr>
              <w:t>，因此，依托</w:t>
            </w:r>
            <w:r>
              <w:rPr>
                <w:rFonts w:hint="eastAsia" w:ascii="Times New Roman" w:hAnsi="Times New Roman" w:eastAsia="宋体"/>
                <w:b w:val="0"/>
                <w:bCs w:val="0"/>
                <w:sz w:val="21"/>
                <w:szCs w:val="21"/>
                <w:lang w:val="en-US" w:eastAsia="zh-CN"/>
              </w:rPr>
              <w:t>北经开区污水处理厂</w:t>
            </w:r>
            <w:r>
              <w:rPr>
                <w:rFonts w:ascii="Times New Roman" w:hAnsi="Times New Roman" w:eastAsia="宋体"/>
                <w:b w:val="0"/>
                <w:bCs w:val="0"/>
                <w:sz w:val="21"/>
                <w:szCs w:val="21"/>
              </w:rPr>
              <w:t>可行。</w:t>
            </w:r>
          </w:p>
          <w:p w14:paraId="222A8AA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b/>
                <w:bCs/>
                <w:sz w:val="21"/>
                <w:szCs w:val="21"/>
              </w:rPr>
            </w:pPr>
            <w:r>
              <w:rPr>
                <w:rFonts w:hint="eastAsia" w:ascii="Times New Roman" w:hAnsi="Times New Roman" w:eastAsia="宋体"/>
                <w:b/>
                <w:bCs/>
                <w:sz w:val="21"/>
                <w:szCs w:val="21"/>
                <w:lang w:val="en-US" w:eastAsia="zh-CN"/>
              </w:rPr>
              <w:t>三、</w:t>
            </w:r>
            <w:r>
              <w:rPr>
                <w:rFonts w:ascii="Times New Roman" w:hAnsi="Times New Roman" w:eastAsia="宋体"/>
                <w:b/>
                <w:bCs/>
                <w:sz w:val="21"/>
                <w:szCs w:val="21"/>
              </w:rPr>
              <w:t>噪声</w:t>
            </w:r>
          </w:p>
          <w:p w14:paraId="108E6B8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3.1噪声声源</w:t>
            </w:r>
          </w:p>
          <w:p w14:paraId="5D87E30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（1）噪声声源</w:t>
            </w:r>
          </w:p>
          <w:p w14:paraId="23F770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eastAsia="宋体"/>
                <w:b w:val="0"/>
                <w:bCs w:val="0"/>
                <w:sz w:val="21"/>
                <w:szCs w:val="21"/>
              </w:rPr>
            </w:pPr>
            <w:r>
              <w:rPr>
                <w:rFonts w:ascii="Times New Roman" w:hAnsi="Times New Roman" w:eastAsia="宋体"/>
                <w:b w:val="0"/>
                <w:bCs w:val="0"/>
                <w:sz w:val="21"/>
                <w:szCs w:val="21"/>
              </w:rPr>
              <w:t>本项目运营期的噪声主要来源于</w:t>
            </w:r>
            <w:r>
              <w:rPr>
                <w:rFonts w:hint="eastAsia" w:ascii="Times New Roman" w:hAnsi="Times New Roman" w:eastAsia="宋体"/>
                <w:b w:val="0"/>
                <w:bCs w:val="0"/>
                <w:sz w:val="21"/>
                <w:szCs w:val="21"/>
                <w:lang w:val="en-US" w:eastAsia="zh-CN"/>
              </w:rPr>
              <w:t>混料机</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eastAsia="zh-CN"/>
              </w:rPr>
              <w:t>挤出机</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破碎机等</w:t>
            </w:r>
            <w:r>
              <w:rPr>
                <w:rFonts w:hint="default" w:ascii="Times New Roman" w:hAnsi="Times New Roman" w:eastAsia="宋体"/>
                <w:b w:val="0"/>
                <w:bCs w:val="0"/>
                <w:sz w:val="21"/>
                <w:szCs w:val="21"/>
              </w:rPr>
              <w:t>生产</w:t>
            </w:r>
            <w:r>
              <w:rPr>
                <w:rFonts w:hint="eastAsia" w:ascii="Times New Roman" w:hAnsi="Times New Roman" w:eastAsia="宋体"/>
                <w:b w:val="0"/>
                <w:bCs w:val="0"/>
                <w:sz w:val="21"/>
                <w:szCs w:val="21"/>
                <w:lang w:val="en-US" w:eastAsia="zh-CN"/>
              </w:rPr>
              <w:t>设备</w:t>
            </w:r>
            <w:r>
              <w:rPr>
                <w:rFonts w:ascii="Times New Roman" w:hAnsi="Times New Roman" w:eastAsia="宋体"/>
                <w:b w:val="0"/>
                <w:bCs w:val="0"/>
                <w:sz w:val="21"/>
                <w:szCs w:val="21"/>
              </w:rPr>
              <w:t>。各种设备噪声源强见下表4-</w:t>
            </w:r>
            <w:r>
              <w:rPr>
                <w:rFonts w:hint="eastAsia" w:ascii="Times New Roman" w:hAnsi="Times New Roman" w:eastAsia="宋体"/>
                <w:b w:val="0"/>
                <w:bCs w:val="0"/>
                <w:sz w:val="21"/>
                <w:szCs w:val="21"/>
                <w:lang w:val="en-US" w:eastAsia="zh-CN"/>
              </w:rPr>
              <w:t>7</w:t>
            </w:r>
            <w:r>
              <w:rPr>
                <w:rFonts w:ascii="Times New Roman" w:hAnsi="Times New Roman" w:eastAsia="宋体"/>
                <w:b w:val="0"/>
                <w:bCs w:val="0"/>
                <w:sz w:val="21"/>
                <w:szCs w:val="21"/>
              </w:rPr>
              <w:t>，其噪声值范围在</w:t>
            </w:r>
            <w:r>
              <w:rPr>
                <w:rFonts w:hint="eastAsia" w:ascii="Times New Roman" w:hAnsi="Times New Roman" w:eastAsia="宋体"/>
                <w:b w:val="0"/>
                <w:bCs w:val="0"/>
                <w:sz w:val="21"/>
                <w:szCs w:val="21"/>
                <w:lang w:val="en-US" w:eastAsia="zh-CN"/>
              </w:rPr>
              <w:t>80</w:t>
            </w:r>
            <w:r>
              <w:rPr>
                <w:rFonts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85</w:t>
            </w:r>
            <w:r>
              <w:rPr>
                <w:rFonts w:ascii="Times New Roman" w:hAnsi="Times New Roman" w:eastAsia="宋体"/>
                <w:b w:val="0"/>
                <w:bCs w:val="0"/>
                <w:sz w:val="21"/>
                <w:szCs w:val="21"/>
              </w:rPr>
              <w:t>dB（A）之间。</w:t>
            </w:r>
          </w:p>
          <w:p w14:paraId="3FAEA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rPr>
              <w:t>表</w:t>
            </w:r>
            <w:r>
              <w:rPr>
                <w:rFonts w:hint="eastAsia" w:ascii="黑体" w:hAnsi="黑体" w:eastAsia="黑体" w:cs="黑体"/>
                <w:b w:val="0"/>
                <w:bCs w:val="0"/>
                <w:sz w:val="21"/>
                <w:szCs w:val="21"/>
                <w:lang w:val="en-US" w:eastAsia="zh-CN"/>
              </w:rPr>
              <w:t>4-7</w:t>
            </w:r>
            <w:r>
              <w:rPr>
                <w:rFonts w:hint="eastAsia" w:ascii="黑体" w:hAnsi="黑体" w:eastAsia="黑体" w:cs="黑体"/>
                <w:b w:val="0"/>
                <w:bCs w:val="0"/>
                <w:sz w:val="21"/>
                <w:szCs w:val="21"/>
              </w:rPr>
              <w:t xml:space="preserve">    项目噪声源</w:t>
            </w:r>
            <w:r>
              <w:rPr>
                <w:rFonts w:hint="eastAsia" w:ascii="黑体" w:hAnsi="黑体" w:eastAsia="黑体" w:cs="黑体"/>
                <w:b w:val="0"/>
                <w:bCs w:val="0"/>
                <w:sz w:val="21"/>
                <w:szCs w:val="21"/>
                <w:lang w:val="en-US" w:eastAsia="zh-CN"/>
              </w:rPr>
              <w:t>强</w:t>
            </w:r>
          </w:p>
          <w:tbl>
            <w:tblPr>
              <w:tblStyle w:val="30"/>
              <w:tblpPr w:leftFromText="180" w:rightFromText="180" w:vertAnchor="text" w:horzAnchor="page" w:tblpXSpec="center" w:tblpY="323"/>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93"/>
              <w:gridCol w:w="393"/>
              <w:gridCol w:w="393"/>
              <w:gridCol w:w="525"/>
              <w:gridCol w:w="393"/>
              <w:gridCol w:w="302"/>
              <w:gridCol w:w="302"/>
              <w:gridCol w:w="238"/>
              <w:gridCol w:w="240"/>
              <w:gridCol w:w="237"/>
              <w:gridCol w:w="328"/>
              <w:gridCol w:w="237"/>
              <w:gridCol w:w="327"/>
              <w:gridCol w:w="327"/>
              <w:gridCol w:w="327"/>
              <w:gridCol w:w="327"/>
              <w:gridCol w:w="393"/>
              <w:gridCol w:w="327"/>
              <w:gridCol w:w="327"/>
              <w:gridCol w:w="327"/>
              <w:gridCol w:w="327"/>
              <w:gridCol w:w="326"/>
              <w:gridCol w:w="326"/>
              <w:gridCol w:w="326"/>
              <w:gridCol w:w="327"/>
              <w:gridCol w:w="199"/>
            </w:tblGrid>
            <w:tr w14:paraId="7295F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226" w:type="pct"/>
                  <w:vMerge w:val="restart"/>
                  <w:tcBorders>
                    <w:tl2br w:val="nil"/>
                    <w:tr2bl w:val="nil"/>
                  </w:tcBorders>
                  <w:noWrap w:val="0"/>
                  <w:vAlign w:val="center"/>
                </w:tcPr>
                <w:p w14:paraId="6815AEC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序</w:t>
                  </w:r>
                  <w:r>
                    <w:rPr>
                      <w:rFonts w:hint="default" w:ascii="Times New Roman" w:hAnsi="Times New Roman" w:eastAsia="宋体"/>
                      <w:b w:val="0"/>
                      <w:bCs w:val="0"/>
                      <w:sz w:val="21"/>
                      <w:szCs w:val="21"/>
                    </w:rPr>
                    <w:t>号</w:t>
                  </w:r>
                </w:p>
              </w:tc>
              <w:tc>
                <w:tcPr>
                  <w:tcW w:w="226" w:type="pct"/>
                  <w:vMerge w:val="restart"/>
                  <w:tcBorders>
                    <w:tl2br w:val="nil"/>
                    <w:tr2bl w:val="nil"/>
                  </w:tcBorders>
                  <w:noWrap w:val="0"/>
                  <w:vAlign w:val="center"/>
                </w:tcPr>
                <w:p w14:paraId="2F5ACB1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声源名称</w:t>
                  </w:r>
                </w:p>
              </w:tc>
              <w:tc>
                <w:tcPr>
                  <w:tcW w:w="226" w:type="pct"/>
                  <w:vMerge w:val="restart"/>
                  <w:tcBorders>
                    <w:tl2br w:val="nil"/>
                    <w:tr2bl w:val="nil"/>
                  </w:tcBorders>
                  <w:noWrap w:val="0"/>
                  <w:vAlign w:val="center"/>
                </w:tcPr>
                <w:p w14:paraId="4008E8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型号</w:t>
                  </w:r>
                </w:p>
              </w:tc>
              <w:tc>
                <w:tcPr>
                  <w:tcW w:w="316" w:type="pct"/>
                  <w:tcBorders>
                    <w:tl2br w:val="nil"/>
                    <w:tr2bl w:val="nil"/>
                  </w:tcBorders>
                  <w:noWrap w:val="0"/>
                  <w:vAlign w:val="center"/>
                </w:tcPr>
                <w:p w14:paraId="787E0C4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eastAsia="zh-CN"/>
                    </w:rPr>
                  </w:pPr>
                  <w:r>
                    <w:rPr>
                      <w:rFonts w:hint="default" w:ascii="Times New Roman" w:hAnsi="Times New Roman" w:eastAsia="宋体"/>
                      <w:b w:val="0"/>
                      <w:bCs w:val="0"/>
                      <w:sz w:val="21"/>
                      <w:szCs w:val="21"/>
                      <w:lang w:eastAsia="zh-CN"/>
                    </w:rPr>
                    <w:t>声源源强</w:t>
                  </w:r>
                </w:p>
              </w:tc>
              <w:tc>
                <w:tcPr>
                  <w:tcW w:w="227" w:type="pct"/>
                  <w:vMerge w:val="restart"/>
                  <w:tcBorders>
                    <w:tl2br w:val="nil"/>
                    <w:tr2bl w:val="nil"/>
                  </w:tcBorders>
                  <w:noWrap w:val="0"/>
                  <w:vAlign w:val="center"/>
                </w:tcPr>
                <w:p w14:paraId="4B75047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声源控制措施</w:t>
                  </w:r>
                </w:p>
              </w:tc>
              <w:tc>
                <w:tcPr>
                  <w:tcW w:w="578" w:type="pct"/>
                  <w:gridSpan w:val="3"/>
                  <w:tcBorders>
                    <w:tl2br w:val="nil"/>
                    <w:tr2bl w:val="nil"/>
                  </w:tcBorders>
                  <w:noWrap w:val="0"/>
                  <w:vAlign w:val="center"/>
                </w:tcPr>
                <w:p w14:paraId="5EDC297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空间相对位置/m</w:t>
                  </w:r>
                </w:p>
              </w:tc>
              <w:tc>
                <w:tcPr>
                  <w:tcW w:w="640" w:type="pct"/>
                  <w:gridSpan w:val="4"/>
                  <w:tcBorders>
                    <w:tl2br w:val="nil"/>
                    <w:tr2bl w:val="nil"/>
                  </w:tcBorders>
                  <w:noWrap w:val="0"/>
                  <w:vAlign w:val="center"/>
                </w:tcPr>
                <w:p w14:paraId="6D3428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距室内边界距离/m</w:t>
                  </w:r>
                </w:p>
              </w:tc>
              <w:tc>
                <w:tcPr>
                  <w:tcW w:w="741" w:type="pct"/>
                  <w:gridSpan w:val="4"/>
                  <w:tcBorders>
                    <w:tl2br w:val="nil"/>
                    <w:tr2bl w:val="nil"/>
                  </w:tcBorders>
                  <w:noWrap w:val="0"/>
                  <w:vAlign w:val="center"/>
                </w:tcPr>
                <w:p w14:paraId="3A6E68D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default" w:ascii="Times New Roman" w:hAnsi="Times New Roman" w:eastAsia="宋体"/>
                      <w:b w:val="0"/>
                      <w:bCs w:val="0"/>
                      <w:sz w:val="21"/>
                      <w:szCs w:val="21"/>
                    </w:rPr>
                    <w:t>室内边界声级/dB</w:t>
                  </w: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p>
              </w:tc>
              <w:tc>
                <w:tcPr>
                  <w:tcW w:w="227" w:type="pct"/>
                  <w:vMerge w:val="restart"/>
                  <w:tcBorders>
                    <w:tl2br w:val="nil"/>
                    <w:tr2bl w:val="nil"/>
                  </w:tcBorders>
                  <w:noWrap w:val="0"/>
                  <w:vAlign w:val="center"/>
                </w:tcPr>
                <w:p w14:paraId="2492D5E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运行时段</w:t>
                  </w:r>
                </w:p>
              </w:tc>
              <w:tc>
                <w:tcPr>
                  <w:tcW w:w="741" w:type="pct"/>
                  <w:gridSpan w:val="4"/>
                  <w:tcBorders>
                    <w:tl2br w:val="nil"/>
                    <w:tr2bl w:val="nil"/>
                  </w:tcBorders>
                  <w:noWrap w:val="0"/>
                  <w:vAlign w:val="center"/>
                </w:tcPr>
                <w:p w14:paraId="38EEC7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default" w:ascii="Times New Roman" w:hAnsi="Times New Roman" w:eastAsia="宋体"/>
                      <w:b w:val="0"/>
                      <w:bCs w:val="0"/>
                      <w:sz w:val="21"/>
                      <w:szCs w:val="21"/>
                    </w:rPr>
                    <w:t>建筑物插入损失 / dB</w:t>
                  </w: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p>
              </w:tc>
              <w:tc>
                <w:tcPr>
                  <w:tcW w:w="848" w:type="pct"/>
                  <w:gridSpan w:val="5"/>
                  <w:tcBorders>
                    <w:tl2br w:val="nil"/>
                    <w:tr2bl w:val="nil"/>
                  </w:tcBorders>
                  <w:noWrap w:val="0"/>
                  <w:vAlign w:val="center"/>
                </w:tcPr>
                <w:p w14:paraId="7CCF40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default" w:ascii="Times New Roman" w:hAnsi="Times New Roman" w:eastAsia="宋体"/>
                      <w:b w:val="0"/>
                      <w:bCs w:val="0"/>
                      <w:sz w:val="21"/>
                      <w:szCs w:val="21"/>
                    </w:rPr>
                    <w:t>建筑物外噪声声压级/dB</w:t>
                  </w: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p>
              </w:tc>
            </w:tr>
            <w:tr w14:paraId="50BC8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226" w:type="pct"/>
                  <w:vMerge w:val="continue"/>
                  <w:tcBorders>
                    <w:tl2br w:val="nil"/>
                    <w:tr2bl w:val="nil"/>
                  </w:tcBorders>
                  <w:noWrap w:val="0"/>
                  <w:tcMar>
                    <w:top w:w="0" w:type="dxa"/>
                    <w:left w:w="0" w:type="dxa"/>
                    <w:bottom w:w="0" w:type="dxa"/>
                    <w:right w:w="0" w:type="dxa"/>
                  </w:tcMar>
                  <w:vAlign w:val="center"/>
                </w:tcPr>
                <w:p w14:paraId="6CC6E75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p>
              </w:tc>
              <w:tc>
                <w:tcPr>
                  <w:tcW w:w="226" w:type="pct"/>
                  <w:vMerge w:val="continue"/>
                  <w:tcBorders>
                    <w:tl2br w:val="nil"/>
                    <w:tr2bl w:val="nil"/>
                  </w:tcBorders>
                  <w:noWrap w:val="0"/>
                  <w:tcMar>
                    <w:top w:w="0" w:type="dxa"/>
                    <w:left w:w="0" w:type="dxa"/>
                    <w:bottom w:w="0" w:type="dxa"/>
                    <w:right w:w="0" w:type="dxa"/>
                  </w:tcMar>
                  <w:vAlign w:val="center"/>
                </w:tcPr>
                <w:p w14:paraId="68F45D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226" w:type="pct"/>
                  <w:vMerge w:val="continue"/>
                  <w:tcBorders>
                    <w:tl2br w:val="nil"/>
                    <w:tr2bl w:val="nil"/>
                  </w:tcBorders>
                  <w:noWrap w:val="0"/>
                  <w:tcMar>
                    <w:top w:w="0" w:type="dxa"/>
                    <w:left w:w="0" w:type="dxa"/>
                    <w:bottom w:w="0" w:type="dxa"/>
                    <w:right w:w="0" w:type="dxa"/>
                  </w:tcMar>
                  <w:vAlign w:val="center"/>
                </w:tcPr>
                <w:p w14:paraId="54F095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316" w:type="pct"/>
                  <w:tcBorders>
                    <w:tl2br w:val="nil"/>
                    <w:tr2bl w:val="nil"/>
                  </w:tcBorders>
                  <w:noWrap w:val="0"/>
                  <w:tcMar>
                    <w:top w:w="0" w:type="dxa"/>
                    <w:left w:w="0" w:type="dxa"/>
                    <w:bottom w:w="0" w:type="dxa"/>
                    <w:right w:w="0" w:type="dxa"/>
                  </w:tcMar>
                  <w:vAlign w:val="center"/>
                </w:tcPr>
                <w:p w14:paraId="2F5C672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声功</w:t>
                  </w:r>
                </w:p>
                <w:p w14:paraId="2B74A0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default" w:ascii="Times New Roman" w:hAnsi="Times New Roman" w:eastAsia="宋体"/>
                      <w:b w:val="0"/>
                      <w:bCs w:val="0"/>
                      <w:sz w:val="21"/>
                      <w:szCs w:val="21"/>
                    </w:rPr>
                    <w:t>率级/dB</w:t>
                  </w:r>
                  <w:r>
                    <w:rPr>
                      <w:rFonts w:hint="eastAsia" w:ascii="Times New Roman" w:hAnsi="Times New Roman" w:eastAsia="宋体"/>
                      <w:b w:val="0"/>
                      <w:bCs w:val="0"/>
                      <w:sz w:val="21"/>
                      <w:szCs w:val="21"/>
                      <w:lang w:eastAsia="zh-CN"/>
                    </w:rPr>
                    <w:t>（</w:t>
                  </w:r>
                  <w:r>
                    <w:rPr>
                      <w:rFonts w:hint="default"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p>
              </w:tc>
              <w:tc>
                <w:tcPr>
                  <w:tcW w:w="227" w:type="pct"/>
                  <w:vMerge w:val="continue"/>
                  <w:tcBorders>
                    <w:tl2br w:val="nil"/>
                    <w:tr2bl w:val="nil"/>
                  </w:tcBorders>
                  <w:noWrap w:val="0"/>
                  <w:tcMar>
                    <w:top w:w="0" w:type="dxa"/>
                    <w:left w:w="0" w:type="dxa"/>
                    <w:bottom w:w="0" w:type="dxa"/>
                    <w:right w:w="0" w:type="dxa"/>
                  </w:tcMar>
                  <w:vAlign w:val="center"/>
                </w:tcPr>
                <w:p w14:paraId="5F34A67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221" w:type="pct"/>
                  <w:tcBorders>
                    <w:tl2br w:val="nil"/>
                    <w:tr2bl w:val="nil"/>
                  </w:tcBorders>
                  <w:noWrap w:val="0"/>
                  <w:tcMar>
                    <w:top w:w="0" w:type="dxa"/>
                    <w:left w:w="0" w:type="dxa"/>
                    <w:bottom w:w="0" w:type="dxa"/>
                    <w:right w:w="0" w:type="dxa"/>
                  </w:tcMar>
                  <w:vAlign w:val="center"/>
                </w:tcPr>
                <w:p w14:paraId="29FDCA2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X</w:t>
                  </w:r>
                </w:p>
              </w:tc>
              <w:tc>
                <w:tcPr>
                  <w:tcW w:w="221" w:type="pct"/>
                  <w:tcBorders>
                    <w:tl2br w:val="nil"/>
                    <w:tr2bl w:val="nil"/>
                  </w:tcBorders>
                  <w:noWrap w:val="0"/>
                  <w:tcMar>
                    <w:top w:w="0" w:type="dxa"/>
                    <w:left w:w="0" w:type="dxa"/>
                    <w:bottom w:w="0" w:type="dxa"/>
                    <w:right w:w="0" w:type="dxa"/>
                  </w:tcMar>
                  <w:vAlign w:val="center"/>
                </w:tcPr>
                <w:p w14:paraId="3B9A693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Y</w:t>
                  </w:r>
                </w:p>
              </w:tc>
              <w:tc>
                <w:tcPr>
                  <w:tcW w:w="134" w:type="pct"/>
                  <w:tcBorders>
                    <w:tl2br w:val="nil"/>
                    <w:tr2bl w:val="nil"/>
                  </w:tcBorders>
                  <w:noWrap w:val="0"/>
                  <w:tcMar>
                    <w:top w:w="0" w:type="dxa"/>
                    <w:left w:w="0" w:type="dxa"/>
                    <w:bottom w:w="0" w:type="dxa"/>
                    <w:right w:w="0" w:type="dxa"/>
                  </w:tcMar>
                  <w:vAlign w:val="center"/>
                </w:tcPr>
                <w:p w14:paraId="6999DF4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Z</w:t>
                  </w:r>
                </w:p>
              </w:tc>
              <w:tc>
                <w:tcPr>
                  <w:tcW w:w="185" w:type="pct"/>
                  <w:tcBorders>
                    <w:tl2br w:val="nil"/>
                    <w:tr2bl w:val="nil"/>
                  </w:tcBorders>
                  <w:noWrap w:val="0"/>
                  <w:tcMar>
                    <w:top w:w="0" w:type="dxa"/>
                    <w:left w:w="0" w:type="dxa"/>
                    <w:bottom w:w="0" w:type="dxa"/>
                    <w:right w:w="0" w:type="dxa"/>
                  </w:tcMar>
                  <w:vAlign w:val="center"/>
                </w:tcPr>
                <w:p w14:paraId="6190BF6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东</w:t>
                  </w:r>
                </w:p>
              </w:tc>
              <w:tc>
                <w:tcPr>
                  <w:tcW w:w="134" w:type="pct"/>
                  <w:tcBorders>
                    <w:tl2br w:val="nil"/>
                    <w:tr2bl w:val="nil"/>
                  </w:tcBorders>
                  <w:noWrap w:val="0"/>
                  <w:tcMar>
                    <w:top w:w="0" w:type="dxa"/>
                    <w:left w:w="0" w:type="dxa"/>
                    <w:bottom w:w="0" w:type="dxa"/>
                    <w:right w:w="0" w:type="dxa"/>
                  </w:tcMar>
                  <w:vAlign w:val="center"/>
                </w:tcPr>
                <w:p w14:paraId="4CB44DB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南</w:t>
                  </w:r>
                </w:p>
              </w:tc>
              <w:tc>
                <w:tcPr>
                  <w:tcW w:w="185" w:type="pct"/>
                  <w:tcBorders>
                    <w:tl2br w:val="nil"/>
                    <w:tr2bl w:val="nil"/>
                  </w:tcBorders>
                  <w:noWrap w:val="0"/>
                  <w:tcMar>
                    <w:top w:w="0" w:type="dxa"/>
                    <w:left w:w="0" w:type="dxa"/>
                    <w:bottom w:w="0" w:type="dxa"/>
                    <w:right w:w="0" w:type="dxa"/>
                  </w:tcMar>
                  <w:vAlign w:val="center"/>
                </w:tcPr>
                <w:p w14:paraId="6BA7C7B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西</w:t>
                  </w:r>
                </w:p>
              </w:tc>
              <w:tc>
                <w:tcPr>
                  <w:tcW w:w="134" w:type="pct"/>
                  <w:tcBorders>
                    <w:tl2br w:val="nil"/>
                    <w:tr2bl w:val="nil"/>
                  </w:tcBorders>
                  <w:noWrap w:val="0"/>
                  <w:tcMar>
                    <w:top w:w="0" w:type="dxa"/>
                    <w:left w:w="0" w:type="dxa"/>
                    <w:bottom w:w="0" w:type="dxa"/>
                    <w:right w:w="0" w:type="dxa"/>
                  </w:tcMar>
                  <w:vAlign w:val="center"/>
                </w:tcPr>
                <w:p w14:paraId="0115C4E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北</w:t>
                  </w:r>
                </w:p>
              </w:tc>
              <w:tc>
                <w:tcPr>
                  <w:tcW w:w="185" w:type="pct"/>
                  <w:tcBorders>
                    <w:tl2br w:val="nil"/>
                    <w:tr2bl w:val="nil"/>
                  </w:tcBorders>
                  <w:noWrap w:val="0"/>
                  <w:tcMar>
                    <w:top w:w="0" w:type="dxa"/>
                    <w:left w:w="0" w:type="dxa"/>
                    <w:bottom w:w="0" w:type="dxa"/>
                    <w:right w:w="0" w:type="dxa"/>
                  </w:tcMar>
                  <w:vAlign w:val="center"/>
                </w:tcPr>
                <w:p w14:paraId="33ED11A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东</w:t>
                  </w:r>
                </w:p>
              </w:tc>
              <w:tc>
                <w:tcPr>
                  <w:tcW w:w="185" w:type="pct"/>
                  <w:tcBorders>
                    <w:tl2br w:val="nil"/>
                    <w:tr2bl w:val="nil"/>
                  </w:tcBorders>
                  <w:noWrap w:val="0"/>
                  <w:tcMar>
                    <w:top w:w="0" w:type="dxa"/>
                    <w:left w:w="0" w:type="dxa"/>
                    <w:bottom w:w="0" w:type="dxa"/>
                    <w:right w:w="0" w:type="dxa"/>
                  </w:tcMar>
                  <w:vAlign w:val="center"/>
                </w:tcPr>
                <w:p w14:paraId="766E13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南</w:t>
                  </w:r>
                </w:p>
              </w:tc>
              <w:tc>
                <w:tcPr>
                  <w:tcW w:w="185" w:type="pct"/>
                  <w:tcBorders>
                    <w:tl2br w:val="nil"/>
                    <w:tr2bl w:val="nil"/>
                  </w:tcBorders>
                  <w:noWrap w:val="0"/>
                  <w:tcMar>
                    <w:top w:w="0" w:type="dxa"/>
                    <w:left w:w="0" w:type="dxa"/>
                    <w:bottom w:w="0" w:type="dxa"/>
                    <w:right w:w="0" w:type="dxa"/>
                  </w:tcMar>
                  <w:vAlign w:val="center"/>
                </w:tcPr>
                <w:p w14:paraId="7A53FE2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西</w:t>
                  </w:r>
                </w:p>
              </w:tc>
              <w:tc>
                <w:tcPr>
                  <w:tcW w:w="185" w:type="pct"/>
                  <w:tcBorders>
                    <w:tl2br w:val="nil"/>
                    <w:tr2bl w:val="nil"/>
                  </w:tcBorders>
                  <w:noWrap w:val="0"/>
                  <w:tcMar>
                    <w:top w:w="0" w:type="dxa"/>
                    <w:left w:w="0" w:type="dxa"/>
                    <w:bottom w:w="0" w:type="dxa"/>
                    <w:right w:w="0" w:type="dxa"/>
                  </w:tcMar>
                  <w:vAlign w:val="center"/>
                </w:tcPr>
                <w:p w14:paraId="732155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北</w:t>
                  </w:r>
                </w:p>
              </w:tc>
              <w:tc>
                <w:tcPr>
                  <w:tcW w:w="227" w:type="pct"/>
                  <w:vMerge w:val="continue"/>
                  <w:tcBorders>
                    <w:tl2br w:val="nil"/>
                    <w:tr2bl w:val="nil"/>
                  </w:tcBorders>
                  <w:noWrap w:val="0"/>
                  <w:tcMar>
                    <w:top w:w="0" w:type="dxa"/>
                    <w:left w:w="0" w:type="dxa"/>
                    <w:bottom w:w="0" w:type="dxa"/>
                    <w:right w:w="0" w:type="dxa"/>
                  </w:tcMar>
                  <w:vAlign w:val="center"/>
                </w:tcPr>
                <w:p w14:paraId="1B8D04A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185" w:type="pct"/>
                  <w:tcBorders>
                    <w:tl2br w:val="nil"/>
                    <w:tr2bl w:val="nil"/>
                  </w:tcBorders>
                  <w:noWrap w:val="0"/>
                  <w:tcMar>
                    <w:top w:w="0" w:type="dxa"/>
                    <w:left w:w="0" w:type="dxa"/>
                    <w:bottom w:w="0" w:type="dxa"/>
                    <w:right w:w="0" w:type="dxa"/>
                  </w:tcMar>
                  <w:vAlign w:val="center"/>
                </w:tcPr>
                <w:p w14:paraId="3041095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东</w:t>
                  </w:r>
                </w:p>
              </w:tc>
              <w:tc>
                <w:tcPr>
                  <w:tcW w:w="185" w:type="pct"/>
                  <w:tcBorders>
                    <w:tl2br w:val="nil"/>
                    <w:tr2bl w:val="nil"/>
                  </w:tcBorders>
                  <w:noWrap w:val="0"/>
                  <w:tcMar>
                    <w:top w:w="0" w:type="dxa"/>
                    <w:left w:w="0" w:type="dxa"/>
                    <w:bottom w:w="0" w:type="dxa"/>
                    <w:right w:w="0" w:type="dxa"/>
                  </w:tcMar>
                  <w:vAlign w:val="center"/>
                </w:tcPr>
                <w:p w14:paraId="75958B4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南</w:t>
                  </w:r>
                </w:p>
              </w:tc>
              <w:tc>
                <w:tcPr>
                  <w:tcW w:w="185" w:type="pct"/>
                  <w:tcBorders>
                    <w:tl2br w:val="nil"/>
                    <w:tr2bl w:val="nil"/>
                  </w:tcBorders>
                  <w:noWrap w:val="0"/>
                  <w:tcMar>
                    <w:top w:w="0" w:type="dxa"/>
                    <w:left w:w="0" w:type="dxa"/>
                    <w:bottom w:w="0" w:type="dxa"/>
                    <w:right w:w="0" w:type="dxa"/>
                  </w:tcMar>
                  <w:vAlign w:val="center"/>
                </w:tcPr>
                <w:p w14:paraId="01807D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西</w:t>
                  </w:r>
                </w:p>
              </w:tc>
              <w:tc>
                <w:tcPr>
                  <w:tcW w:w="185" w:type="pct"/>
                  <w:tcBorders>
                    <w:tl2br w:val="nil"/>
                    <w:tr2bl w:val="nil"/>
                  </w:tcBorders>
                  <w:noWrap w:val="0"/>
                  <w:tcMar>
                    <w:top w:w="0" w:type="dxa"/>
                    <w:left w:w="0" w:type="dxa"/>
                    <w:bottom w:w="0" w:type="dxa"/>
                    <w:right w:w="0" w:type="dxa"/>
                  </w:tcMar>
                  <w:vAlign w:val="center"/>
                </w:tcPr>
                <w:p w14:paraId="25729B0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北</w:t>
                  </w:r>
                </w:p>
              </w:tc>
              <w:tc>
                <w:tcPr>
                  <w:tcW w:w="184" w:type="pct"/>
                  <w:tcBorders>
                    <w:tl2br w:val="nil"/>
                    <w:tr2bl w:val="nil"/>
                  </w:tcBorders>
                  <w:noWrap w:val="0"/>
                  <w:tcMar>
                    <w:top w:w="0" w:type="dxa"/>
                    <w:left w:w="0" w:type="dxa"/>
                    <w:bottom w:w="0" w:type="dxa"/>
                    <w:right w:w="0" w:type="dxa"/>
                  </w:tcMar>
                  <w:vAlign w:val="center"/>
                </w:tcPr>
                <w:p w14:paraId="41E3379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东</w:t>
                  </w:r>
                </w:p>
              </w:tc>
              <w:tc>
                <w:tcPr>
                  <w:tcW w:w="184" w:type="pct"/>
                  <w:tcBorders>
                    <w:tl2br w:val="nil"/>
                    <w:tr2bl w:val="nil"/>
                  </w:tcBorders>
                  <w:noWrap w:val="0"/>
                  <w:tcMar>
                    <w:top w:w="0" w:type="dxa"/>
                    <w:left w:w="0" w:type="dxa"/>
                    <w:bottom w:w="0" w:type="dxa"/>
                    <w:right w:w="0" w:type="dxa"/>
                  </w:tcMar>
                  <w:vAlign w:val="center"/>
                </w:tcPr>
                <w:p w14:paraId="5931DF7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南</w:t>
                  </w:r>
                </w:p>
              </w:tc>
              <w:tc>
                <w:tcPr>
                  <w:tcW w:w="184" w:type="pct"/>
                  <w:tcBorders>
                    <w:tl2br w:val="nil"/>
                    <w:tr2bl w:val="nil"/>
                  </w:tcBorders>
                  <w:noWrap w:val="0"/>
                  <w:tcMar>
                    <w:top w:w="0" w:type="dxa"/>
                    <w:left w:w="0" w:type="dxa"/>
                    <w:bottom w:w="0" w:type="dxa"/>
                    <w:right w:w="0" w:type="dxa"/>
                  </w:tcMar>
                  <w:vAlign w:val="center"/>
                </w:tcPr>
                <w:p w14:paraId="2B2E90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西</w:t>
                  </w:r>
                </w:p>
              </w:tc>
              <w:tc>
                <w:tcPr>
                  <w:tcW w:w="184" w:type="pct"/>
                  <w:tcBorders>
                    <w:tl2br w:val="nil"/>
                    <w:tr2bl w:val="nil"/>
                  </w:tcBorders>
                  <w:noWrap w:val="0"/>
                  <w:tcMar>
                    <w:top w:w="0" w:type="dxa"/>
                    <w:left w:w="0" w:type="dxa"/>
                    <w:bottom w:w="0" w:type="dxa"/>
                    <w:right w:w="0" w:type="dxa"/>
                  </w:tcMar>
                  <w:vAlign w:val="center"/>
                </w:tcPr>
                <w:p w14:paraId="232316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北</w:t>
                  </w:r>
                </w:p>
              </w:tc>
              <w:tc>
                <w:tcPr>
                  <w:tcW w:w="112" w:type="pct"/>
                  <w:tcBorders>
                    <w:tl2br w:val="nil"/>
                    <w:tr2bl w:val="nil"/>
                  </w:tcBorders>
                  <w:noWrap w:val="0"/>
                  <w:tcMar>
                    <w:top w:w="0" w:type="dxa"/>
                    <w:left w:w="0" w:type="dxa"/>
                    <w:bottom w:w="0" w:type="dxa"/>
                    <w:right w:w="0" w:type="dxa"/>
                  </w:tcMar>
                  <w:vAlign w:val="center"/>
                </w:tcPr>
                <w:p w14:paraId="7283CE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建筑物外距离</w:t>
                  </w:r>
                </w:p>
              </w:tc>
            </w:tr>
            <w:tr w14:paraId="6265A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26" w:type="pct"/>
                  <w:tcBorders>
                    <w:tl2br w:val="nil"/>
                    <w:tr2bl w:val="nil"/>
                  </w:tcBorders>
                  <w:noWrap w:val="0"/>
                  <w:tcMar>
                    <w:top w:w="0" w:type="dxa"/>
                    <w:left w:w="0" w:type="dxa"/>
                    <w:bottom w:w="0" w:type="dxa"/>
                    <w:right w:w="0" w:type="dxa"/>
                  </w:tcMar>
                  <w:vAlign w:val="center"/>
                </w:tcPr>
                <w:p w14:paraId="7A2D471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w:t>
                  </w:r>
                </w:p>
              </w:tc>
              <w:tc>
                <w:tcPr>
                  <w:tcW w:w="226" w:type="pct"/>
                  <w:tcBorders>
                    <w:tl2br w:val="nil"/>
                    <w:tr2bl w:val="nil"/>
                  </w:tcBorders>
                  <w:noWrap w:val="0"/>
                  <w:tcMar>
                    <w:top w:w="0" w:type="dxa"/>
                    <w:left w:w="0" w:type="dxa"/>
                    <w:bottom w:w="0" w:type="dxa"/>
                    <w:right w:w="0" w:type="dxa"/>
                  </w:tcMar>
                  <w:vAlign w:val="center"/>
                </w:tcPr>
                <w:p w14:paraId="71C2AB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混料机</w:t>
                  </w:r>
                </w:p>
              </w:tc>
              <w:tc>
                <w:tcPr>
                  <w:tcW w:w="226" w:type="pct"/>
                  <w:tcBorders>
                    <w:tl2br w:val="nil"/>
                    <w:tr2bl w:val="nil"/>
                  </w:tcBorders>
                  <w:noWrap w:val="0"/>
                  <w:tcMar>
                    <w:top w:w="0" w:type="dxa"/>
                    <w:left w:w="0" w:type="dxa"/>
                    <w:bottom w:w="0" w:type="dxa"/>
                    <w:right w:w="0" w:type="dxa"/>
                  </w:tcMar>
                  <w:vAlign w:val="center"/>
                </w:tcPr>
                <w:p w14:paraId="52C04C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w:t>
                  </w:r>
                </w:p>
              </w:tc>
              <w:tc>
                <w:tcPr>
                  <w:tcW w:w="316" w:type="pct"/>
                  <w:tcBorders>
                    <w:tl2br w:val="nil"/>
                    <w:tr2bl w:val="nil"/>
                  </w:tcBorders>
                  <w:noWrap w:val="0"/>
                  <w:tcMar>
                    <w:top w:w="0" w:type="dxa"/>
                    <w:left w:w="0" w:type="dxa"/>
                    <w:bottom w:w="0" w:type="dxa"/>
                    <w:right w:w="0" w:type="dxa"/>
                  </w:tcMar>
                  <w:vAlign w:val="center"/>
                </w:tcPr>
                <w:p w14:paraId="7A31FC4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8</w:t>
                  </w:r>
                  <w:r>
                    <w:rPr>
                      <w:rFonts w:hint="default" w:ascii="Times New Roman" w:hAnsi="Times New Roman" w:eastAsia="宋体"/>
                      <w:b w:val="0"/>
                      <w:bCs w:val="0"/>
                      <w:sz w:val="21"/>
                      <w:szCs w:val="21"/>
                    </w:rPr>
                    <w:t>5</w:t>
                  </w:r>
                </w:p>
              </w:tc>
              <w:tc>
                <w:tcPr>
                  <w:tcW w:w="227" w:type="pct"/>
                  <w:vMerge w:val="restart"/>
                  <w:tcBorders>
                    <w:tl2br w:val="nil"/>
                    <w:tr2bl w:val="nil"/>
                  </w:tcBorders>
                  <w:noWrap w:val="0"/>
                  <w:tcMar>
                    <w:top w:w="0" w:type="dxa"/>
                    <w:left w:w="0" w:type="dxa"/>
                    <w:bottom w:w="0" w:type="dxa"/>
                    <w:right w:w="0" w:type="dxa"/>
                  </w:tcMar>
                  <w:vAlign w:val="center"/>
                </w:tcPr>
                <w:p w14:paraId="00E098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车间阻挡减振隔声</w:t>
                  </w:r>
                </w:p>
              </w:tc>
              <w:tc>
                <w:tcPr>
                  <w:tcW w:w="221" w:type="pct"/>
                  <w:tcBorders>
                    <w:tl2br w:val="nil"/>
                    <w:tr2bl w:val="nil"/>
                  </w:tcBorders>
                  <w:noWrap w:val="0"/>
                  <w:tcMar>
                    <w:top w:w="0" w:type="dxa"/>
                    <w:left w:w="0" w:type="dxa"/>
                    <w:bottom w:w="0" w:type="dxa"/>
                    <w:right w:w="0" w:type="dxa"/>
                  </w:tcMar>
                  <w:vAlign w:val="center"/>
                </w:tcPr>
                <w:p w14:paraId="424102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2.3</w:t>
                  </w:r>
                </w:p>
              </w:tc>
              <w:tc>
                <w:tcPr>
                  <w:tcW w:w="221" w:type="pct"/>
                  <w:tcBorders>
                    <w:tl2br w:val="nil"/>
                    <w:tr2bl w:val="nil"/>
                  </w:tcBorders>
                  <w:noWrap w:val="0"/>
                  <w:tcMar>
                    <w:top w:w="0" w:type="dxa"/>
                    <w:left w:w="0" w:type="dxa"/>
                    <w:bottom w:w="0" w:type="dxa"/>
                    <w:right w:w="0" w:type="dxa"/>
                  </w:tcMar>
                  <w:vAlign w:val="center"/>
                </w:tcPr>
                <w:p w14:paraId="598224D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2.6</w:t>
                  </w:r>
                </w:p>
              </w:tc>
              <w:tc>
                <w:tcPr>
                  <w:tcW w:w="134" w:type="pct"/>
                  <w:tcBorders>
                    <w:tl2br w:val="nil"/>
                    <w:tr2bl w:val="nil"/>
                  </w:tcBorders>
                  <w:noWrap w:val="0"/>
                  <w:tcMar>
                    <w:top w:w="0" w:type="dxa"/>
                    <w:left w:w="0" w:type="dxa"/>
                    <w:bottom w:w="0" w:type="dxa"/>
                    <w:right w:w="0" w:type="dxa"/>
                  </w:tcMar>
                  <w:vAlign w:val="center"/>
                </w:tcPr>
                <w:p w14:paraId="40A3B86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1.2</w:t>
                  </w:r>
                </w:p>
              </w:tc>
              <w:tc>
                <w:tcPr>
                  <w:tcW w:w="185" w:type="pct"/>
                  <w:tcBorders>
                    <w:tl2br w:val="nil"/>
                    <w:tr2bl w:val="nil"/>
                  </w:tcBorders>
                  <w:noWrap w:val="0"/>
                  <w:tcMar>
                    <w:top w:w="0" w:type="dxa"/>
                    <w:left w:w="0" w:type="dxa"/>
                    <w:bottom w:w="0" w:type="dxa"/>
                    <w:right w:w="0" w:type="dxa"/>
                  </w:tcMar>
                  <w:vAlign w:val="center"/>
                </w:tcPr>
                <w:p w14:paraId="5355F48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2.3</w:t>
                  </w:r>
                </w:p>
              </w:tc>
              <w:tc>
                <w:tcPr>
                  <w:tcW w:w="134" w:type="pct"/>
                  <w:tcBorders>
                    <w:tl2br w:val="nil"/>
                    <w:tr2bl w:val="nil"/>
                  </w:tcBorders>
                  <w:noWrap w:val="0"/>
                  <w:tcMar>
                    <w:top w:w="0" w:type="dxa"/>
                    <w:left w:w="0" w:type="dxa"/>
                    <w:bottom w:w="0" w:type="dxa"/>
                    <w:right w:w="0" w:type="dxa"/>
                  </w:tcMar>
                  <w:vAlign w:val="center"/>
                </w:tcPr>
                <w:p w14:paraId="2748646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4.4</w:t>
                  </w:r>
                </w:p>
              </w:tc>
              <w:tc>
                <w:tcPr>
                  <w:tcW w:w="185" w:type="pct"/>
                  <w:tcBorders>
                    <w:tl2br w:val="nil"/>
                    <w:tr2bl w:val="nil"/>
                  </w:tcBorders>
                  <w:noWrap w:val="0"/>
                  <w:tcMar>
                    <w:top w:w="0" w:type="dxa"/>
                    <w:left w:w="0" w:type="dxa"/>
                    <w:bottom w:w="0" w:type="dxa"/>
                    <w:right w:w="0" w:type="dxa"/>
                  </w:tcMar>
                  <w:vAlign w:val="center"/>
                </w:tcPr>
                <w:p w14:paraId="4FE6505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17.7</w:t>
                  </w:r>
                </w:p>
              </w:tc>
              <w:tc>
                <w:tcPr>
                  <w:tcW w:w="134" w:type="pct"/>
                  <w:tcBorders>
                    <w:tl2br w:val="nil"/>
                    <w:tr2bl w:val="nil"/>
                  </w:tcBorders>
                  <w:noWrap w:val="0"/>
                  <w:tcMar>
                    <w:top w:w="0" w:type="dxa"/>
                    <w:left w:w="0" w:type="dxa"/>
                    <w:bottom w:w="0" w:type="dxa"/>
                    <w:right w:w="0" w:type="dxa"/>
                  </w:tcMar>
                  <w:vAlign w:val="center"/>
                </w:tcPr>
                <w:p w14:paraId="2F0C93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2.6</w:t>
                  </w:r>
                </w:p>
              </w:tc>
              <w:tc>
                <w:tcPr>
                  <w:tcW w:w="185" w:type="pct"/>
                  <w:tcBorders>
                    <w:tl2br w:val="nil"/>
                    <w:tr2bl w:val="nil"/>
                  </w:tcBorders>
                  <w:noWrap w:val="0"/>
                  <w:tcMar>
                    <w:top w:w="0" w:type="dxa"/>
                    <w:left w:w="0" w:type="dxa"/>
                    <w:bottom w:w="0" w:type="dxa"/>
                    <w:right w:w="0" w:type="dxa"/>
                  </w:tcMar>
                  <w:vAlign w:val="center"/>
                </w:tcPr>
                <w:p w14:paraId="0D50896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63.2</w:t>
                  </w:r>
                </w:p>
              </w:tc>
              <w:tc>
                <w:tcPr>
                  <w:tcW w:w="185" w:type="pct"/>
                  <w:tcBorders>
                    <w:tl2br w:val="nil"/>
                    <w:tr2bl w:val="nil"/>
                  </w:tcBorders>
                  <w:noWrap w:val="0"/>
                  <w:tcMar>
                    <w:top w:w="0" w:type="dxa"/>
                    <w:left w:w="0" w:type="dxa"/>
                    <w:bottom w:w="0" w:type="dxa"/>
                    <w:right w:w="0" w:type="dxa"/>
                  </w:tcMar>
                  <w:vAlign w:val="center"/>
                </w:tcPr>
                <w:p w14:paraId="3E0279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5</w:t>
                  </w:r>
                  <w:r>
                    <w:rPr>
                      <w:rFonts w:hint="eastAsia" w:ascii="Times New Roman" w:hAnsi="Times New Roman" w:eastAsia="宋体"/>
                      <w:b w:val="0"/>
                      <w:bCs w:val="0"/>
                      <w:sz w:val="21"/>
                      <w:szCs w:val="21"/>
                      <w:lang w:val="en-US" w:eastAsia="zh-CN"/>
                    </w:rPr>
                    <w:t>7.1</w:t>
                  </w:r>
                </w:p>
              </w:tc>
              <w:tc>
                <w:tcPr>
                  <w:tcW w:w="185" w:type="pct"/>
                  <w:tcBorders>
                    <w:tl2br w:val="nil"/>
                    <w:tr2bl w:val="nil"/>
                  </w:tcBorders>
                  <w:noWrap w:val="0"/>
                  <w:tcMar>
                    <w:top w:w="0" w:type="dxa"/>
                    <w:left w:w="0" w:type="dxa"/>
                    <w:bottom w:w="0" w:type="dxa"/>
                    <w:right w:w="0" w:type="dxa"/>
                  </w:tcMar>
                  <w:vAlign w:val="center"/>
                </w:tcPr>
                <w:p w14:paraId="6402D0E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51.4</w:t>
                  </w:r>
                </w:p>
              </w:tc>
              <w:tc>
                <w:tcPr>
                  <w:tcW w:w="185" w:type="pct"/>
                  <w:tcBorders>
                    <w:tl2br w:val="nil"/>
                    <w:tr2bl w:val="nil"/>
                  </w:tcBorders>
                  <w:noWrap w:val="0"/>
                  <w:tcMar>
                    <w:top w:w="0" w:type="dxa"/>
                    <w:left w:w="0" w:type="dxa"/>
                    <w:bottom w:w="0" w:type="dxa"/>
                    <w:right w:w="0" w:type="dxa"/>
                  </w:tcMar>
                  <w:vAlign w:val="center"/>
                </w:tcPr>
                <w:p w14:paraId="6132DB6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63.4</w:t>
                  </w:r>
                </w:p>
              </w:tc>
              <w:tc>
                <w:tcPr>
                  <w:tcW w:w="227" w:type="pct"/>
                  <w:vMerge w:val="restart"/>
                  <w:tcBorders>
                    <w:tl2br w:val="nil"/>
                    <w:tr2bl w:val="nil"/>
                  </w:tcBorders>
                  <w:noWrap w:val="0"/>
                  <w:tcMar>
                    <w:top w:w="0" w:type="dxa"/>
                    <w:left w:w="0" w:type="dxa"/>
                    <w:bottom w:w="0" w:type="dxa"/>
                    <w:right w:w="0" w:type="dxa"/>
                  </w:tcMar>
                  <w:vAlign w:val="center"/>
                </w:tcPr>
                <w:p w14:paraId="026809B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全天10h工作</w:t>
                  </w:r>
                </w:p>
              </w:tc>
              <w:tc>
                <w:tcPr>
                  <w:tcW w:w="185" w:type="pct"/>
                  <w:tcBorders>
                    <w:tl2br w:val="nil"/>
                    <w:tr2bl w:val="nil"/>
                  </w:tcBorders>
                  <w:noWrap w:val="0"/>
                  <w:tcMar>
                    <w:top w:w="0" w:type="dxa"/>
                    <w:left w:w="0" w:type="dxa"/>
                    <w:bottom w:w="0" w:type="dxa"/>
                    <w:right w:w="0" w:type="dxa"/>
                  </w:tcMar>
                  <w:vAlign w:val="center"/>
                </w:tcPr>
                <w:p w14:paraId="58DF962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1</w:t>
                  </w:r>
                </w:p>
              </w:tc>
              <w:tc>
                <w:tcPr>
                  <w:tcW w:w="185" w:type="pct"/>
                  <w:tcBorders>
                    <w:tl2br w:val="nil"/>
                    <w:tr2bl w:val="nil"/>
                  </w:tcBorders>
                  <w:noWrap w:val="0"/>
                  <w:tcMar>
                    <w:top w:w="0" w:type="dxa"/>
                    <w:left w:w="0" w:type="dxa"/>
                    <w:bottom w:w="0" w:type="dxa"/>
                    <w:right w:w="0" w:type="dxa"/>
                  </w:tcMar>
                  <w:vAlign w:val="center"/>
                </w:tcPr>
                <w:p w14:paraId="30060AE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0ACBB14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4CF6107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3</w:t>
                  </w:r>
                </w:p>
              </w:tc>
              <w:tc>
                <w:tcPr>
                  <w:tcW w:w="184" w:type="pct"/>
                  <w:tcBorders>
                    <w:tl2br w:val="nil"/>
                    <w:tr2bl w:val="nil"/>
                  </w:tcBorders>
                  <w:noWrap w:val="0"/>
                  <w:tcMar>
                    <w:top w:w="0" w:type="dxa"/>
                    <w:left w:w="0" w:type="dxa"/>
                    <w:bottom w:w="0" w:type="dxa"/>
                    <w:right w:w="0" w:type="dxa"/>
                  </w:tcMar>
                  <w:vAlign w:val="center"/>
                </w:tcPr>
                <w:p w14:paraId="4F8D54F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42</w:t>
                  </w:r>
                  <w:r>
                    <w:rPr>
                      <w:rFonts w:hint="default" w:ascii="Times New Roman" w:hAnsi="Times New Roman" w:eastAsia="宋体"/>
                      <w:b w:val="0"/>
                      <w:bCs w:val="0"/>
                      <w:sz w:val="21"/>
                      <w:szCs w:val="21"/>
                    </w:rPr>
                    <w:t>.1</w:t>
                  </w:r>
                </w:p>
              </w:tc>
              <w:tc>
                <w:tcPr>
                  <w:tcW w:w="184" w:type="pct"/>
                  <w:tcBorders>
                    <w:tl2br w:val="nil"/>
                    <w:tr2bl w:val="nil"/>
                  </w:tcBorders>
                  <w:noWrap w:val="0"/>
                  <w:tcMar>
                    <w:top w:w="0" w:type="dxa"/>
                    <w:left w:w="0" w:type="dxa"/>
                    <w:bottom w:w="0" w:type="dxa"/>
                    <w:right w:w="0" w:type="dxa"/>
                  </w:tcMar>
                  <w:vAlign w:val="center"/>
                </w:tcPr>
                <w:p w14:paraId="72C0DAF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35.1</w:t>
                  </w:r>
                </w:p>
              </w:tc>
              <w:tc>
                <w:tcPr>
                  <w:tcW w:w="184" w:type="pct"/>
                  <w:tcBorders>
                    <w:tl2br w:val="nil"/>
                    <w:tr2bl w:val="nil"/>
                  </w:tcBorders>
                  <w:noWrap w:val="0"/>
                  <w:tcMar>
                    <w:top w:w="0" w:type="dxa"/>
                    <w:left w:w="0" w:type="dxa"/>
                    <w:bottom w:w="0" w:type="dxa"/>
                    <w:right w:w="0" w:type="dxa"/>
                  </w:tcMar>
                  <w:vAlign w:val="center"/>
                </w:tcPr>
                <w:p w14:paraId="598561E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30.4</w:t>
                  </w:r>
                </w:p>
              </w:tc>
              <w:tc>
                <w:tcPr>
                  <w:tcW w:w="184" w:type="pct"/>
                  <w:tcBorders>
                    <w:tl2br w:val="nil"/>
                    <w:tr2bl w:val="nil"/>
                  </w:tcBorders>
                  <w:noWrap w:val="0"/>
                  <w:tcMar>
                    <w:top w:w="0" w:type="dxa"/>
                    <w:left w:w="0" w:type="dxa"/>
                    <w:bottom w:w="0" w:type="dxa"/>
                    <w:right w:w="0" w:type="dxa"/>
                  </w:tcMar>
                  <w:vAlign w:val="center"/>
                </w:tcPr>
                <w:p w14:paraId="03762A3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41.1</w:t>
                  </w:r>
                </w:p>
              </w:tc>
              <w:tc>
                <w:tcPr>
                  <w:tcW w:w="112" w:type="pct"/>
                  <w:tcBorders>
                    <w:tl2br w:val="nil"/>
                    <w:tr2bl w:val="nil"/>
                  </w:tcBorders>
                  <w:noWrap w:val="0"/>
                  <w:tcMar>
                    <w:top w:w="0" w:type="dxa"/>
                    <w:left w:w="0" w:type="dxa"/>
                    <w:bottom w:w="0" w:type="dxa"/>
                    <w:right w:w="0" w:type="dxa"/>
                  </w:tcMar>
                  <w:vAlign w:val="center"/>
                </w:tcPr>
                <w:p w14:paraId="11BDDC5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w:t>
                  </w:r>
                </w:p>
              </w:tc>
            </w:tr>
            <w:tr w14:paraId="436115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26" w:type="pct"/>
                  <w:tcBorders>
                    <w:tl2br w:val="nil"/>
                    <w:tr2bl w:val="nil"/>
                  </w:tcBorders>
                  <w:noWrap w:val="0"/>
                  <w:tcMar>
                    <w:top w:w="0" w:type="dxa"/>
                    <w:left w:w="0" w:type="dxa"/>
                    <w:bottom w:w="0" w:type="dxa"/>
                    <w:right w:w="0" w:type="dxa"/>
                  </w:tcMar>
                  <w:vAlign w:val="center"/>
                </w:tcPr>
                <w:p w14:paraId="318BD59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2</w:t>
                  </w:r>
                </w:p>
              </w:tc>
              <w:tc>
                <w:tcPr>
                  <w:tcW w:w="226" w:type="pct"/>
                  <w:tcBorders>
                    <w:tl2br w:val="nil"/>
                    <w:tr2bl w:val="nil"/>
                  </w:tcBorders>
                  <w:noWrap w:val="0"/>
                  <w:tcMar>
                    <w:top w:w="0" w:type="dxa"/>
                    <w:left w:w="0" w:type="dxa"/>
                    <w:bottom w:w="0" w:type="dxa"/>
                    <w:right w:w="0" w:type="dxa"/>
                  </w:tcMar>
                  <w:vAlign w:val="center"/>
                </w:tcPr>
                <w:p w14:paraId="561078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eastAsia" w:ascii="Times New Roman" w:hAnsi="Times New Roman" w:eastAsia="宋体"/>
                      <w:b w:val="0"/>
                      <w:bCs w:val="0"/>
                      <w:sz w:val="21"/>
                      <w:szCs w:val="21"/>
                      <w:lang w:val="en-US" w:eastAsia="zh-CN"/>
                    </w:rPr>
                    <w:t>挤出机</w:t>
                  </w:r>
                </w:p>
              </w:tc>
              <w:tc>
                <w:tcPr>
                  <w:tcW w:w="226" w:type="pct"/>
                  <w:tcBorders>
                    <w:tl2br w:val="nil"/>
                    <w:tr2bl w:val="nil"/>
                  </w:tcBorders>
                  <w:noWrap w:val="0"/>
                  <w:tcMar>
                    <w:top w:w="0" w:type="dxa"/>
                    <w:left w:w="0" w:type="dxa"/>
                    <w:bottom w:w="0" w:type="dxa"/>
                    <w:right w:w="0" w:type="dxa"/>
                  </w:tcMar>
                  <w:vAlign w:val="center"/>
                </w:tcPr>
                <w:p w14:paraId="5C48A37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w:t>
                  </w:r>
                </w:p>
              </w:tc>
              <w:tc>
                <w:tcPr>
                  <w:tcW w:w="316" w:type="pct"/>
                  <w:tcBorders>
                    <w:tl2br w:val="nil"/>
                    <w:tr2bl w:val="nil"/>
                  </w:tcBorders>
                  <w:noWrap w:val="0"/>
                  <w:tcMar>
                    <w:top w:w="0" w:type="dxa"/>
                    <w:left w:w="0" w:type="dxa"/>
                    <w:bottom w:w="0" w:type="dxa"/>
                    <w:right w:w="0" w:type="dxa"/>
                  </w:tcMar>
                  <w:vAlign w:val="center"/>
                </w:tcPr>
                <w:p w14:paraId="50F8E54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8</w:t>
                  </w:r>
                  <w:r>
                    <w:rPr>
                      <w:rFonts w:hint="default" w:ascii="Times New Roman" w:hAnsi="Times New Roman" w:eastAsia="宋体"/>
                      <w:b w:val="0"/>
                      <w:bCs w:val="0"/>
                      <w:sz w:val="21"/>
                      <w:szCs w:val="21"/>
                    </w:rPr>
                    <w:t>0</w:t>
                  </w:r>
                </w:p>
              </w:tc>
              <w:tc>
                <w:tcPr>
                  <w:tcW w:w="227" w:type="pct"/>
                  <w:vMerge w:val="continue"/>
                  <w:tcBorders>
                    <w:tl2br w:val="nil"/>
                    <w:tr2bl w:val="nil"/>
                  </w:tcBorders>
                  <w:noWrap w:val="0"/>
                  <w:tcMar>
                    <w:top w:w="0" w:type="dxa"/>
                    <w:left w:w="0" w:type="dxa"/>
                    <w:bottom w:w="0" w:type="dxa"/>
                    <w:right w:w="0" w:type="dxa"/>
                  </w:tcMar>
                  <w:vAlign w:val="center"/>
                </w:tcPr>
                <w:p w14:paraId="12E864C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221" w:type="pct"/>
                  <w:tcBorders>
                    <w:tl2br w:val="nil"/>
                    <w:tr2bl w:val="nil"/>
                  </w:tcBorders>
                  <w:noWrap w:val="0"/>
                  <w:tcMar>
                    <w:top w:w="0" w:type="dxa"/>
                    <w:left w:w="0" w:type="dxa"/>
                    <w:bottom w:w="0" w:type="dxa"/>
                    <w:right w:w="0" w:type="dxa"/>
                  </w:tcMar>
                  <w:vAlign w:val="center"/>
                </w:tcPr>
                <w:p w14:paraId="7B83E29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8.5</w:t>
                  </w:r>
                </w:p>
              </w:tc>
              <w:tc>
                <w:tcPr>
                  <w:tcW w:w="221" w:type="pct"/>
                  <w:tcBorders>
                    <w:tl2br w:val="nil"/>
                    <w:tr2bl w:val="nil"/>
                  </w:tcBorders>
                  <w:noWrap w:val="0"/>
                  <w:tcMar>
                    <w:top w:w="0" w:type="dxa"/>
                    <w:left w:w="0" w:type="dxa"/>
                    <w:bottom w:w="0" w:type="dxa"/>
                    <w:right w:w="0" w:type="dxa"/>
                  </w:tcMar>
                  <w:vAlign w:val="center"/>
                </w:tcPr>
                <w:p w14:paraId="6DD71E5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6</w:t>
                  </w:r>
                </w:p>
              </w:tc>
              <w:tc>
                <w:tcPr>
                  <w:tcW w:w="134" w:type="pct"/>
                  <w:tcBorders>
                    <w:tl2br w:val="nil"/>
                    <w:tr2bl w:val="nil"/>
                  </w:tcBorders>
                  <w:noWrap w:val="0"/>
                  <w:tcMar>
                    <w:top w:w="0" w:type="dxa"/>
                    <w:left w:w="0" w:type="dxa"/>
                    <w:bottom w:w="0" w:type="dxa"/>
                    <w:right w:w="0" w:type="dxa"/>
                  </w:tcMar>
                  <w:vAlign w:val="center"/>
                </w:tcPr>
                <w:p w14:paraId="6BBCBF0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1</w:t>
                  </w:r>
                </w:p>
              </w:tc>
              <w:tc>
                <w:tcPr>
                  <w:tcW w:w="321" w:type="dxa"/>
                  <w:tcBorders>
                    <w:tl2br w:val="nil"/>
                    <w:tr2bl w:val="nil"/>
                  </w:tcBorders>
                  <w:noWrap w:val="0"/>
                  <w:tcMar>
                    <w:top w:w="0" w:type="dxa"/>
                    <w:left w:w="0" w:type="dxa"/>
                    <w:bottom w:w="0" w:type="dxa"/>
                    <w:right w:w="0" w:type="dxa"/>
                  </w:tcMar>
                  <w:vAlign w:val="center"/>
                </w:tcPr>
                <w:p w14:paraId="10F048E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8.5</w:t>
                  </w:r>
                </w:p>
              </w:tc>
              <w:tc>
                <w:tcPr>
                  <w:tcW w:w="134" w:type="pct"/>
                  <w:tcBorders>
                    <w:tl2br w:val="nil"/>
                    <w:tr2bl w:val="nil"/>
                  </w:tcBorders>
                  <w:noWrap w:val="0"/>
                  <w:tcMar>
                    <w:top w:w="0" w:type="dxa"/>
                    <w:left w:w="0" w:type="dxa"/>
                    <w:bottom w:w="0" w:type="dxa"/>
                    <w:right w:w="0" w:type="dxa"/>
                  </w:tcMar>
                  <w:vAlign w:val="center"/>
                </w:tcPr>
                <w:p w14:paraId="23EEEE8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1.5</w:t>
                  </w:r>
                </w:p>
              </w:tc>
              <w:tc>
                <w:tcPr>
                  <w:tcW w:w="185" w:type="pct"/>
                  <w:tcBorders>
                    <w:tl2br w:val="nil"/>
                    <w:tr2bl w:val="nil"/>
                  </w:tcBorders>
                  <w:noWrap w:val="0"/>
                  <w:tcMar>
                    <w:top w:w="0" w:type="dxa"/>
                    <w:left w:w="0" w:type="dxa"/>
                    <w:bottom w:w="0" w:type="dxa"/>
                    <w:right w:w="0" w:type="dxa"/>
                  </w:tcMar>
                  <w:vAlign w:val="center"/>
                </w:tcPr>
                <w:p w14:paraId="474B25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11.5</w:t>
                  </w:r>
                </w:p>
              </w:tc>
              <w:tc>
                <w:tcPr>
                  <w:tcW w:w="234" w:type="dxa"/>
                  <w:tcBorders>
                    <w:tl2br w:val="nil"/>
                    <w:tr2bl w:val="nil"/>
                  </w:tcBorders>
                  <w:noWrap w:val="0"/>
                  <w:tcMar>
                    <w:top w:w="0" w:type="dxa"/>
                    <w:left w:w="0" w:type="dxa"/>
                    <w:bottom w:w="0" w:type="dxa"/>
                    <w:right w:w="0" w:type="dxa"/>
                  </w:tcMar>
                  <w:vAlign w:val="center"/>
                </w:tcPr>
                <w:p w14:paraId="5D35E3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w:t>
                  </w:r>
                </w:p>
              </w:tc>
              <w:tc>
                <w:tcPr>
                  <w:tcW w:w="185" w:type="pct"/>
                  <w:tcBorders>
                    <w:tl2br w:val="nil"/>
                    <w:tr2bl w:val="nil"/>
                  </w:tcBorders>
                  <w:noWrap w:val="0"/>
                  <w:tcMar>
                    <w:top w:w="0" w:type="dxa"/>
                    <w:left w:w="0" w:type="dxa"/>
                    <w:bottom w:w="0" w:type="dxa"/>
                    <w:right w:w="0" w:type="dxa"/>
                  </w:tcMar>
                  <w:vAlign w:val="center"/>
                </w:tcPr>
                <w:p w14:paraId="36F3EF6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5</w:t>
                  </w:r>
                  <w:r>
                    <w:rPr>
                      <w:rFonts w:hint="eastAsia" w:ascii="Times New Roman" w:hAnsi="Times New Roman" w:eastAsia="宋体"/>
                      <w:b w:val="0"/>
                      <w:bCs w:val="0"/>
                      <w:sz w:val="21"/>
                      <w:szCs w:val="21"/>
                      <w:lang w:val="en-US" w:eastAsia="zh-CN"/>
                    </w:rPr>
                    <w:t>6.3</w:t>
                  </w:r>
                </w:p>
              </w:tc>
              <w:tc>
                <w:tcPr>
                  <w:tcW w:w="185" w:type="pct"/>
                  <w:tcBorders>
                    <w:tl2br w:val="nil"/>
                    <w:tr2bl w:val="nil"/>
                  </w:tcBorders>
                  <w:noWrap w:val="0"/>
                  <w:tcMar>
                    <w:top w:w="0" w:type="dxa"/>
                    <w:left w:w="0" w:type="dxa"/>
                    <w:bottom w:w="0" w:type="dxa"/>
                    <w:right w:w="0" w:type="dxa"/>
                  </w:tcMar>
                  <w:vAlign w:val="center"/>
                </w:tcPr>
                <w:p w14:paraId="1370E21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61.2</w:t>
                  </w:r>
                </w:p>
              </w:tc>
              <w:tc>
                <w:tcPr>
                  <w:tcW w:w="185" w:type="pct"/>
                  <w:tcBorders>
                    <w:tl2br w:val="nil"/>
                    <w:tr2bl w:val="nil"/>
                  </w:tcBorders>
                  <w:noWrap w:val="0"/>
                  <w:tcMar>
                    <w:top w:w="0" w:type="dxa"/>
                    <w:left w:w="0" w:type="dxa"/>
                    <w:bottom w:w="0" w:type="dxa"/>
                    <w:right w:w="0" w:type="dxa"/>
                  </w:tcMar>
                  <w:vAlign w:val="center"/>
                </w:tcPr>
                <w:p w14:paraId="09AF60B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52.1</w:t>
                  </w:r>
                </w:p>
              </w:tc>
              <w:tc>
                <w:tcPr>
                  <w:tcW w:w="185" w:type="pct"/>
                  <w:tcBorders>
                    <w:tl2br w:val="nil"/>
                    <w:tr2bl w:val="nil"/>
                  </w:tcBorders>
                  <w:noWrap w:val="0"/>
                  <w:tcMar>
                    <w:top w:w="0" w:type="dxa"/>
                    <w:left w:w="0" w:type="dxa"/>
                    <w:bottom w:w="0" w:type="dxa"/>
                    <w:right w:w="0" w:type="dxa"/>
                  </w:tcMar>
                  <w:vAlign w:val="center"/>
                </w:tcPr>
                <w:p w14:paraId="5C35E41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58.3</w:t>
                  </w:r>
                </w:p>
              </w:tc>
              <w:tc>
                <w:tcPr>
                  <w:tcW w:w="227" w:type="pct"/>
                  <w:vMerge w:val="continue"/>
                  <w:tcBorders>
                    <w:tl2br w:val="nil"/>
                    <w:tr2bl w:val="nil"/>
                  </w:tcBorders>
                  <w:noWrap w:val="0"/>
                  <w:tcMar>
                    <w:top w:w="0" w:type="dxa"/>
                    <w:left w:w="0" w:type="dxa"/>
                    <w:bottom w:w="0" w:type="dxa"/>
                    <w:right w:w="0" w:type="dxa"/>
                  </w:tcMar>
                  <w:vAlign w:val="center"/>
                </w:tcPr>
                <w:p w14:paraId="4355EA6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185" w:type="pct"/>
                  <w:tcBorders>
                    <w:tl2br w:val="nil"/>
                    <w:tr2bl w:val="nil"/>
                  </w:tcBorders>
                  <w:noWrap w:val="0"/>
                  <w:tcMar>
                    <w:top w:w="0" w:type="dxa"/>
                    <w:left w:w="0" w:type="dxa"/>
                    <w:bottom w:w="0" w:type="dxa"/>
                    <w:right w:w="0" w:type="dxa"/>
                  </w:tcMar>
                  <w:vAlign w:val="center"/>
                </w:tcPr>
                <w:p w14:paraId="448AA92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748FD88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1</w:t>
                  </w:r>
                </w:p>
              </w:tc>
              <w:tc>
                <w:tcPr>
                  <w:tcW w:w="185" w:type="pct"/>
                  <w:tcBorders>
                    <w:tl2br w:val="nil"/>
                    <w:tr2bl w:val="nil"/>
                  </w:tcBorders>
                  <w:noWrap w:val="0"/>
                  <w:tcMar>
                    <w:top w:w="0" w:type="dxa"/>
                    <w:left w:w="0" w:type="dxa"/>
                    <w:bottom w:w="0" w:type="dxa"/>
                    <w:right w:w="0" w:type="dxa"/>
                  </w:tcMar>
                  <w:vAlign w:val="center"/>
                </w:tcPr>
                <w:p w14:paraId="0665CE9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3408684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2</w:t>
                  </w:r>
                </w:p>
              </w:tc>
              <w:tc>
                <w:tcPr>
                  <w:tcW w:w="184" w:type="pct"/>
                  <w:tcBorders>
                    <w:tl2br w:val="nil"/>
                    <w:tr2bl w:val="nil"/>
                  </w:tcBorders>
                  <w:noWrap w:val="0"/>
                  <w:tcMar>
                    <w:top w:w="0" w:type="dxa"/>
                    <w:left w:w="0" w:type="dxa"/>
                    <w:bottom w:w="0" w:type="dxa"/>
                    <w:right w:w="0" w:type="dxa"/>
                  </w:tcMar>
                  <w:vAlign w:val="center"/>
                </w:tcPr>
                <w:p w14:paraId="6767671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35.3</w:t>
                  </w:r>
                </w:p>
              </w:tc>
              <w:tc>
                <w:tcPr>
                  <w:tcW w:w="184" w:type="pct"/>
                  <w:tcBorders>
                    <w:tl2br w:val="nil"/>
                    <w:tr2bl w:val="nil"/>
                  </w:tcBorders>
                  <w:noWrap w:val="0"/>
                  <w:tcMar>
                    <w:top w:w="0" w:type="dxa"/>
                    <w:left w:w="0" w:type="dxa"/>
                    <w:bottom w:w="0" w:type="dxa"/>
                    <w:right w:w="0" w:type="dxa"/>
                  </w:tcMar>
                  <w:vAlign w:val="center"/>
                </w:tcPr>
                <w:p w14:paraId="39F4DCF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40.1</w:t>
                  </w:r>
                </w:p>
              </w:tc>
              <w:tc>
                <w:tcPr>
                  <w:tcW w:w="184" w:type="pct"/>
                  <w:tcBorders>
                    <w:tl2br w:val="nil"/>
                    <w:tr2bl w:val="nil"/>
                  </w:tcBorders>
                  <w:noWrap w:val="0"/>
                  <w:tcMar>
                    <w:top w:w="0" w:type="dxa"/>
                    <w:left w:w="0" w:type="dxa"/>
                    <w:bottom w:w="0" w:type="dxa"/>
                    <w:right w:w="0" w:type="dxa"/>
                  </w:tcMar>
                  <w:vAlign w:val="center"/>
                </w:tcPr>
                <w:p w14:paraId="45F917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31.1</w:t>
                  </w:r>
                </w:p>
              </w:tc>
              <w:tc>
                <w:tcPr>
                  <w:tcW w:w="184" w:type="pct"/>
                  <w:tcBorders>
                    <w:tl2br w:val="nil"/>
                    <w:tr2bl w:val="nil"/>
                  </w:tcBorders>
                  <w:noWrap w:val="0"/>
                  <w:tcMar>
                    <w:top w:w="0" w:type="dxa"/>
                    <w:left w:w="0" w:type="dxa"/>
                    <w:bottom w:w="0" w:type="dxa"/>
                    <w:right w:w="0" w:type="dxa"/>
                  </w:tcMar>
                  <w:vAlign w:val="center"/>
                </w:tcPr>
                <w:p w14:paraId="6BF98CA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37.1</w:t>
                  </w:r>
                </w:p>
              </w:tc>
              <w:tc>
                <w:tcPr>
                  <w:tcW w:w="112" w:type="pct"/>
                  <w:tcBorders>
                    <w:tl2br w:val="nil"/>
                    <w:tr2bl w:val="nil"/>
                  </w:tcBorders>
                  <w:noWrap w:val="0"/>
                  <w:tcMar>
                    <w:top w:w="0" w:type="dxa"/>
                    <w:left w:w="0" w:type="dxa"/>
                    <w:bottom w:w="0" w:type="dxa"/>
                    <w:right w:w="0" w:type="dxa"/>
                  </w:tcMar>
                  <w:vAlign w:val="center"/>
                </w:tcPr>
                <w:p w14:paraId="2781777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w:t>
                  </w:r>
                </w:p>
              </w:tc>
            </w:tr>
            <w:tr w14:paraId="46D107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26" w:type="pct"/>
                  <w:tcBorders>
                    <w:tl2br w:val="nil"/>
                    <w:tr2bl w:val="nil"/>
                  </w:tcBorders>
                  <w:noWrap w:val="0"/>
                  <w:tcMar>
                    <w:top w:w="0" w:type="dxa"/>
                    <w:left w:w="0" w:type="dxa"/>
                    <w:bottom w:w="0" w:type="dxa"/>
                    <w:right w:w="0" w:type="dxa"/>
                  </w:tcMar>
                  <w:vAlign w:val="center"/>
                </w:tcPr>
                <w:p w14:paraId="67F8A26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3</w:t>
                  </w:r>
                </w:p>
              </w:tc>
              <w:tc>
                <w:tcPr>
                  <w:tcW w:w="226" w:type="pct"/>
                  <w:tcBorders>
                    <w:tl2br w:val="nil"/>
                    <w:tr2bl w:val="nil"/>
                  </w:tcBorders>
                  <w:noWrap w:val="0"/>
                  <w:tcMar>
                    <w:top w:w="0" w:type="dxa"/>
                    <w:left w:w="0" w:type="dxa"/>
                    <w:bottom w:w="0" w:type="dxa"/>
                    <w:right w:w="0" w:type="dxa"/>
                  </w:tcMar>
                  <w:vAlign w:val="center"/>
                </w:tcPr>
                <w:p w14:paraId="377B0D7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eastAsia="zh-CN"/>
                    </w:rPr>
                  </w:pPr>
                  <w:r>
                    <w:rPr>
                      <w:rFonts w:hint="eastAsia" w:ascii="Times New Roman" w:hAnsi="Times New Roman" w:eastAsia="宋体"/>
                      <w:b w:val="0"/>
                      <w:bCs w:val="0"/>
                      <w:sz w:val="21"/>
                      <w:szCs w:val="21"/>
                      <w:lang w:val="en-US" w:eastAsia="zh-CN"/>
                    </w:rPr>
                    <w:t>破碎机</w:t>
                  </w:r>
                </w:p>
              </w:tc>
              <w:tc>
                <w:tcPr>
                  <w:tcW w:w="226" w:type="pct"/>
                  <w:tcBorders>
                    <w:tl2br w:val="nil"/>
                    <w:tr2bl w:val="nil"/>
                  </w:tcBorders>
                  <w:noWrap w:val="0"/>
                  <w:tcMar>
                    <w:top w:w="0" w:type="dxa"/>
                    <w:left w:w="0" w:type="dxa"/>
                    <w:bottom w:w="0" w:type="dxa"/>
                    <w:right w:w="0" w:type="dxa"/>
                  </w:tcMar>
                  <w:vAlign w:val="center"/>
                </w:tcPr>
                <w:p w14:paraId="143A7E9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w:t>
                  </w:r>
                </w:p>
              </w:tc>
              <w:tc>
                <w:tcPr>
                  <w:tcW w:w="316" w:type="pct"/>
                  <w:tcBorders>
                    <w:tl2br w:val="nil"/>
                    <w:tr2bl w:val="nil"/>
                  </w:tcBorders>
                  <w:noWrap w:val="0"/>
                  <w:tcMar>
                    <w:top w:w="0" w:type="dxa"/>
                    <w:left w:w="0" w:type="dxa"/>
                    <w:bottom w:w="0" w:type="dxa"/>
                    <w:right w:w="0" w:type="dxa"/>
                  </w:tcMar>
                  <w:vAlign w:val="center"/>
                </w:tcPr>
                <w:p w14:paraId="739945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8</w:t>
                  </w:r>
                  <w:r>
                    <w:rPr>
                      <w:rFonts w:hint="default" w:ascii="Times New Roman" w:hAnsi="Times New Roman" w:eastAsia="宋体"/>
                      <w:b w:val="0"/>
                      <w:bCs w:val="0"/>
                      <w:sz w:val="21"/>
                      <w:szCs w:val="21"/>
                    </w:rPr>
                    <w:t>5</w:t>
                  </w:r>
                </w:p>
              </w:tc>
              <w:tc>
                <w:tcPr>
                  <w:tcW w:w="227" w:type="pct"/>
                  <w:vMerge w:val="continue"/>
                  <w:tcBorders>
                    <w:tl2br w:val="nil"/>
                    <w:tr2bl w:val="nil"/>
                  </w:tcBorders>
                  <w:noWrap w:val="0"/>
                  <w:tcMar>
                    <w:top w:w="0" w:type="dxa"/>
                    <w:left w:w="0" w:type="dxa"/>
                    <w:bottom w:w="0" w:type="dxa"/>
                    <w:right w:w="0" w:type="dxa"/>
                  </w:tcMar>
                  <w:vAlign w:val="center"/>
                </w:tcPr>
                <w:p w14:paraId="526ED6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221" w:type="pct"/>
                  <w:tcBorders>
                    <w:tl2br w:val="nil"/>
                    <w:tr2bl w:val="nil"/>
                  </w:tcBorders>
                  <w:noWrap w:val="0"/>
                  <w:tcMar>
                    <w:top w:w="0" w:type="dxa"/>
                    <w:left w:w="0" w:type="dxa"/>
                    <w:bottom w:w="0" w:type="dxa"/>
                    <w:right w:w="0" w:type="dxa"/>
                  </w:tcMar>
                  <w:vAlign w:val="center"/>
                </w:tcPr>
                <w:p w14:paraId="6707F3E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3.1</w:t>
                  </w:r>
                </w:p>
              </w:tc>
              <w:tc>
                <w:tcPr>
                  <w:tcW w:w="221" w:type="pct"/>
                  <w:tcBorders>
                    <w:tl2br w:val="nil"/>
                    <w:tr2bl w:val="nil"/>
                  </w:tcBorders>
                  <w:noWrap w:val="0"/>
                  <w:tcMar>
                    <w:top w:w="0" w:type="dxa"/>
                    <w:left w:w="0" w:type="dxa"/>
                    <w:bottom w:w="0" w:type="dxa"/>
                    <w:right w:w="0" w:type="dxa"/>
                  </w:tcMar>
                  <w:vAlign w:val="center"/>
                </w:tcPr>
                <w:p w14:paraId="0739705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4.1</w:t>
                  </w:r>
                </w:p>
              </w:tc>
              <w:tc>
                <w:tcPr>
                  <w:tcW w:w="134" w:type="pct"/>
                  <w:tcBorders>
                    <w:tl2br w:val="nil"/>
                    <w:tr2bl w:val="nil"/>
                  </w:tcBorders>
                  <w:noWrap w:val="0"/>
                  <w:tcMar>
                    <w:top w:w="0" w:type="dxa"/>
                    <w:left w:w="0" w:type="dxa"/>
                    <w:bottom w:w="0" w:type="dxa"/>
                    <w:right w:w="0" w:type="dxa"/>
                  </w:tcMar>
                  <w:vAlign w:val="center"/>
                </w:tcPr>
                <w:p w14:paraId="745385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0</w:t>
                  </w:r>
                </w:p>
              </w:tc>
              <w:tc>
                <w:tcPr>
                  <w:tcW w:w="321" w:type="dxa"/>
                  <w:tcBorders>
                    <w:tl2br w:val="nil"/>
                    <w:tr2bl w:val="nil"/>
                  </w:tcBorders>
                  <w:noWrap w:val="0"/>
                  <w:tcMar>
                    <w:top w:w="0" w:type="dxa"/>
                    <w:left w:w="0" w:type="dxa"/>
                    <w:bottom w:w="0" w:type="dxa"/>
                    <w:right w:w="0" w:type="dxa"/>
                  </w:tcMar>
                  <w:vAlign w:val="center"/>
                </w:tcPr>
                <w:p w14:paraId="33D12EB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3.1</w:t>
                  </w:r>
                </w:p>
              </w:tc>
              <w:tc>
                <w:tcPr>
                  <w:tcW w:w="134" w:type="pct"/>
                  <w:tcBorders>
                    <w:tl2br w:val="nil"/>
                    <w:tr2bl w:val="nil"/>
                  </w:tcBorders>
                  <w:noWrap w:val="0"/>
                  <w:tcMar>
                    <w:top w:w="0" w:type="dxa"/>
                    <w:left w:w="0" w:type="dxa"/>
                    <w:bottom w:w="0" w:type="dxa"/>
                    <w:right w:w="0" w:type="dxa"/>
                  </w:tcMar>
                  <w:vAlign w:val="center"/>
                </w:tcPr>
                <w:p w14:paraId="3FD71C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6.9</w:t>
                  </w:r>
                </w:p>
              </w:tc>
              <w:tc>
                <w:tcPr>
                  <w:tcW w:w="185" w:type="pct"/>
                  <w:tcBorders>
                    <w:tl2br w:val="nil"/>
                    <w:tr2bl w:val="nil"/>
                  </w:tcBorders>
                  <w:noWrap w:val="0"/>
                  <w:tcMar>
                    <w:top w:w="0" w:type="dxa"/>
                    <w:left w:w="0" w:type="dxa"/>
                    <w:bottom w:w="0" w:type="dxa"/>
                    <w:right w:w="0" w:type="dxa"/>
                  </w:tcMar>
                  <w:vAlign w:val="center"/>
                </w:tcPr>
                <w:p w14:paraId="6A33C43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16.9</w:t>
                  </w:r>
                </w:p>
              </w:tc>
              <w:tc>
                <w:tcPr>
                  <w:tcW w:w="234" w:type="dxa"/>
                  <w:tcBorders>
                    <w:tl2br w:val="nil"/>
                    <w:tr2bl w:val="nil"/>
                  </w:tcBorders>
                  <w:noWrap w:val="0"/>
                  <w:tcMar>
                    <w:top w:w="0" w:type="dxa"/>
                    <w:left w:w="0" w:type="dxa"/>
                    <w:bottom w:w="0" w:type="dxa"/>
                    <w:right w:w="0" w:type="dxa"/>
                  </w:tcMar>
                  <w:vAlign w:val="center"/>
                </w:tcPr>
                <w:p w14:paraId="3D4D5F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4.1</w:t>
                  </w:r>
                </w:p>
              </w:tc>
              <w:tc>
                <w:tcPr>
                  <w:tcW w:w="185" w:type="pct"/>
                  <w:tcBorders>
                    <w:tl2br w:val="nil"/>
                    <w:tr2bl w:val="nil"/>
                  </w:tcBorders>
                  <w:noWrap w:val="0"/>
                  <w:tcMar>
                    <w:top w:w="0" w:type="dxa"/>
                    <w:left w:w="0" w:type="dxa"/>
                    <w:bottom w:w="0" w:type="dxa"/>
                    <w:right w:w="0" w:type="dxa"/>
                  </w:tcMar>
                  <w:vAlign w:val="center"/>
                </w:tcPr>
                <w:p w14:paraId="3C5E521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62.1</w:t>
                  </w:r>
                </w:p>
              </w:tc>
              <w:tc>
                <w:tcPr>
                  <w:tcW w:w="185" w:type="pct"/>
                  <w:tcBorders>
                    <w:tl2br w:val="nil"/>
                    <w:tr2bl w:val="nil"/>
                  </w:tcBorders>
                  <w:noWrap w:val="0"/>
                  <w:tcMar>
                    <w:top w:w="0" w:type="dxa"/>
                    <w:left w:w="0" w:type="dxa"/>
                    <w:bottom w:w="0" w:type="dxa"/>
                    <w:right w:w="0" w:type="dxa"/>
                  </w:tcMar>
                  <w:vAlign w:val="center"/>
                </w:tcPr>
                <w:p w14:paraId="7EDE8F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52.</w:t>
                  </w:r>
                  <w:r>
                    <w:rPr>
                      <w:rFonts w:hint="eastAsia" w:ascii="Times New Roman" w:hAnsi="Times New Roman" w:eastAsia="宋体"/>
                      <w:b w:val="0"/>
                      <w:bCs w:val="0"/>
                      <w:sz w:val="21"/>
                      <w:szCs w:val="21"/>
                      <w:lang w:val="en-US" w:eastAsia="zh-CN"/>
                    </w:rPr>
                    <w:t>4</w:t>
                  </w:r>
                </w:p>
              </w:tc>
              <w:tc>
                <w:tcPr>
                  <w:tcW w:w="185" w:type="pct"/>
                  <w:tcBorders>
                    <w:tl2br w:val="nil"/>
                    <w:tr2bl w:val="nil"/>
                  </w:tcBorders>
                  <w:noWrap w:val="0"/>
                  <w:tcMar>
                    <w:top w:w="0" w:type="dxa"/>
                    <w:left w:w="0" w:type="dxa"/>
                    <w:bottom w:w="0" w:type="dxa"/>
                    <w:right w:w="0" w:type="dxa"/>
                  </w:tcMar>
                  <w:vAlign w:val="center"/>
                </w:tcPr>
                <w:p w14:paraId="2775680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5</w:t>
                  </w:r>
                  <w:r>
                    <w:rPr>
                      <w:rFonts w:hint="eastAsia" w:ascii="Times New Roman" w:hAnsi="Times New Roman" w:eastAsia="宋体"/>
                      <w:b w:val="0"/>
                      <w:bCs w:val="0"/>
                      <w:sz w:val="21"/>
                      <w:szCs w:val="21"/>
                      <w:lang w:val="en-US" w:eastAsia="zh-CN"/>
                    </w:rPr>
                    <w:t>1.1</w:t>
                  </w:r>
                </w:p>
              </w:tc>
              <w:tc>
                <w:tcPr>
                  <w:tcW w:w="185" w:type="pct"/>
                  <w:tcBorders>
                    <w:tl2br w:val="nil"/>
                    <w:tr2bl w:val="nil"/>
                  </w:tcBorders>
                  <w:noWrap w:val="0"/>
                  <w:tcMar>
                    <w:top w:w="0" w:type="dxa"/>
                    <w:left w:w="0" w:type="dxa"/>
                    <w:bottom w:w="0" w:type="dxa"/>
                    <w:right w:w="0" w:type="dxa"/>
                  </w:tcMar>
                  <w:vAlign w:val="center"/>
                </w:tcPr>
                <w:p w14:paraId="0A40BEA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59.3</w:t>
                  </w:r>
                </w:p>
              </w:tc>
              <w:tc>
                <w:tcPr>
                  <w:tcW w:w="227" w:type="pct"/>
                  <w:vMerge w:val="continue"/>
                  <w:tcBorders>
                    <w:tl2br w:val="nil"/>
                    <w:tr2bl w:val="nil"/>
                  </w:tcBorders>
                  <w:noWrap w:val="0"/>
                  <w:tcMar>
                    <w:top w:w="0" w:type="dxa"/>
                    <w:left w:w="0" w:type="dxa"/>
                    <w:bottom w:w="0" w:type="dxa"/>
                    <w:right w:w="0" w:type="dxa"/>
                  </w:tcMar>
                  <w:vAlign w:val="center"/>
                </w:tcPr>
                <w:p w14:paraId="4603F05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p>
              </w:tc>
              <w:tc>
                <w:tcPr>
                  <w:tcW w:w="185" w:type="pct"/>
                  <w:tcBorders>
                    <w:tl2br w:val="nil"/>
                    <w:tr2bl w:val="nil"/>
                  </w:tcBorders>
                  <w:noWrap w:val="0"/>
                  <w:tcMar>
                    <w:top w:w="0" w:type="dxa"/>
                    <w:left w:w="0" w:type="dxa"/>
                    <w:bottom w:w="0" w:type="dxa"/>
                    <w:right w:w="0" w:type="dxa"/>
                  </w:tcMar>
                  <w:vAlign w:val="center"/>
                </w:tcPr>
                <w:p w14:paraId="7551215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w:t>
                  </w:r>
                  <w:r>
                    <w:rPr>
                      <w:rFonts w:hint="eastAsia" w:ascii="Times New Roman" w:hAnsi="Times New Roman" w:eastAsia="宋体"/>
                      <w:b w:val="0"/>
                      <w:bCs w:val="0"/>
                      <w:sz w:val="21"/>
                      <w:szCs w:val="21"/>
                      <w:lang w:val="en-US" w:eastAsia="zh-CN"/>
                    </w:rPr>
                    <w:t>2</w:t>
                  </w:r>
                </w:p>
              </w:tc>
              <w:tc>
                <w:tcPr>
                  <w:tcW w:w="185" w:type="pct"/>
                  <w:tcBorders>
                    <w:tl2br w:val="nil"/>
                    <w:tr2bl w:val="nil"/>
                  </w:tcBorders>
                  <w:noWrap w:val="0"/>
                  <w:tcMar>
                    <w:top w:w="0" w:type="dxa"/>
                    <w:left w:w="0" w:type="dxa"/>
                    <w:bottom w:w="0" w:type="dxa"/>
                    <w:right w:w="0" w:type="dxa"/>
                  </w:tcMar>
                  <w:vAlign w:val="center"/>
                </w:tcPr>
                <w:p w14:paraId="50CD569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56C37D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5" w:type="pct"/>
                  <w:tcBorders>
                    <w:tl2br w:val="nil"/>
                    <w:tr2bl w:val="nil"/>
                  </w:tcBorders>
                  <w:noWrap w:val="0"/>
                  <w:tcMar>
                    <w:top w:w="0" w:type="dxa"/>
                    <w:left w:w="0" w:type="dxa"/>
                    <w:bottom w:w="0" w:type="dxa"/>
                    <w:right w:w="0" w:type="dxa"/>
                  </w:tcMar>
                  <w:vAlign w:val="center"/>
                </w:tcPr>
                <w:p w14:paraId="66F7CC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w:t>
                  </w:r>
                  <w:r>
                    <w:rPr>
                      <w:rFonts w:hint="default" w:ascii="Times New Roman" w:hAnsi="Times New Roman" w:eastAsia="宋体"/>
                      <w:b w:val="0"/>
                      <w:bCs w:val="0"/>
                      <w:sz w:val="21"/>
                      <w:szCs w:val="21"/>
                    </w:rPr>
                    <w:t>1.0</w:t>
                  </w:r>
                </w:p>
              </w:tc>
              <w:tc>
                <w:tcPr>
                  <w:tcW w:w="184" w:type="pct"/>
                  <w:tcBorders>
                    <w:tl2br w:val="nil"/>
                    <w:tr2bl w:val="nil"/>
                  </w:tcBorders>
                  <w:noWrap w:val="0"/>
                  <w:tcMar>
                    <w:top w:w="0" w:type="dxa"/>
                    <w:left w:w="0" w:type="dxa"/>
                    <w:bottom w:w="0" w:type="dxa"/>
                    <w:right w:w="0" w:type="dxa"/>
                  </w:tcMar>
                  <w:vAlign w:val="center"/>
                </w:tcPr>
                <w:p w14:paraId="4D517C3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40.9</w:t>
                  </w:r>
                </w:p>
              </w:tc>
              <w:tc>
                <w:tcPr>
                  <w:tcW w:w="184" w:type="pct"/>
                  <w:tcBorders>
                    <w:tl2br w:val="nil"/>
                    <w:tr2bl w:val="nil"/>
                  </w:tcBorders>
                  <w:noWrap w:val="0"/>
                  <w:tcMar>
                    <w:top w:w="0" w:type="dxa"/>
                    <w:left w:w="0" w:type="dxa"/>
                    <w:bottom w:w="0" w:type="dxa"/>
                    <w:right w:w="0" w:type="dxa"/>
                  </w:tcMar>
                  <w:vAlign w:val="center"/>
                </w:tcPr>
                <w:p w14:paraId="2768748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31.4</w:t>
                  </w:r>
                </w:p>
              </w:tc>
              <w:tc>
                <w:tcPr>
                  <w:tcW w:w="184" w:type="pct"/>
                  <w:tcBorders>
                    <w:tl2br w:val="nil"/>
                    <w:tr2bl w:val="nil"/>
                  </w:tcBorders>
                  <w:noWrap w:val="0"/>
                  <w:tcMar>
                    <w:top w:w="0" w:type="dxa"/>
                    <w:left w:w="0" w:type="dxa"/>
                    <w:bottom w:w="0" w:type="dxa"/>
                    <w:right w:w="0" w:type="dxa"/>
                  </w:tcMar>
                  <w:vAlign w:val="center"/>
                </w:tcPr>
                <w:p w14:paraId="687F8C1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30.1</w:t>
                  </w:r>
                </w:p>
              </w:tc>
              <w:tc>
                <w:tcPr>
                  <w:tcW w:w="184" w:type="pct"/>
                  <w:tcBorders>
                    <w:tl2br w:val="nil"/>
                    <w:tr2bl w:val="nil"/>
                  </w:tcBorders>
                  <w:noWrap w:val="0"/>
                  <w:tcMar>
                    <w:top w:w="0" w:type="dxa"/>
                    <w:left w:w="0" w:type="dxa"/>
                    <w:bottom w:w="0" w:type="dxa"/>
                    <w:right w:w="0" w:type="dxa"/>
                  </w:tcMar>
                  <w:vAlign w:val="center"/>
                </w:tcPr>
                <w:p w14:paraId="6069B2E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38.3</w:t>
                  </w:r>
                </w:p>
              </w:tc>
              <w:tc>
                <w:tcPr>
                  <w:tcW w:w="112" w:type="pct"/>
                  <w:tcBorders>
                    <w:tl2br w:val="nil"/>
                    <w:tr2bl w:val="nil"/>
                  </w:tcBorders>
                  <w:noWrap w:val="0"/>
                  <w:tcMar>
                    <w:top w:w="0" w:type="dxa"/>
                    <w:left w:w="0" w:type="dxa"/>
                    <w:bottom w:w="0" w:type="dxa"/>
                    <w:right w:w="0" w:type="dxa"/>
                  </w:tcMar>
                  <w:vAlign w:val="center"/>
                </w:tcPr>
                <w:p w14:paraId="020AAD8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w:t>
                  </w:r>
                </w:p>
              </w:tc>
            </w:tr>
          </w:tbl>
          <w:p w14:paraId="0931C06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（2）预测方法</w:t>
            </w:r>
          </w:p>
          <w:p w14:paraId="599AEE5A">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噪声源布置较为集中，其对声环境影响采取《环境影响评价技术导则—声环境》（HJ2.4-2021）中的噪声预测模式。</w:t>
            </w:r>
          </w:p>
          <w:p w14:paraId="273C282F">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由于在声波传播的过程中，通过距离衰减、空气吸收衰减到达厂界外，故实际衰减量要低于其预测衰减量，即实际噪声值将略低于其预测值。</w:t>
            </w:r>
          </w:p>
          <w:p w14:paraId="02DD6AEA">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（3）噪声排放标准</w:t>
            </w:r>
          </w:p>
          <w:p w14:paraId="7BB18308">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厂界噪声标准采用《工业企业厂界环境噪声排放标准》（GB12348-2008）中的</w:t>
            </w:r>
            <w:r>
              <w:rPr>
                <w:rFonts w:hint="eastAsia" w:ascii="Times New Roman" w:hAnsi="Times New Roman" w:eastAsia="宋体"/>
                <w:b w:val="0"/>
                <w:bCs w:val="0"/>
                <w:sz w:val="21"/>
                <w:szCs w:val="21"/>
                <w:lang w:val="en-US" w:eastAsia="zh-CN"/>
              </w:rPr>
              <w:t>3</w:t>
            </w:r>
            <w:r>
              <w:rPr>
                <w:rFonts w:ascii="Times New Roman" w:hAnsi="Times New Roman" w:eastAsia="宋体"/>
                <w:b w:val="0"/>
                <w:bCs w:val="0"/>
                <w:sz w:val="21"/>
                <w:szCs w:val="21"/>
              </w:rPr>
              <w:t>类标准（昼间≤6</w:t>
            </w:r>
            <w:r>
              <w:rPr>
                <w:rFonts w:hint="eastAsia" w:ascii="Times New Roman" w:hAnsi="Times New Roman" w:eastAsia="宋体"/>
                <w:b w:val="0"/>
                <w:bCs w:val="0"/>
                <w:sz w:val="21"/>
                <w:szCs w:val="21"/>
                <w:lang w:val="en-US" w:eastAsia="zh-CN"/>
              </w:rPr>
              <w:t>5</w:t>
            </w:r>
            <w:r>
              <w:rPr>
                <w:rFonts w:ascii="Times New Roman" w:hAnsi="Times New Roman" w:eastAsia="宋体"/>
                <w:b w:val="0"/>
                <w:bCs w:val="0"/>
                <w:sz w:val="21"/>
                <w:szCs w:val="21"/>
              </w:rPr>
              <w:t>dB（A），夜间≤5</w:t>
            </w:r>
            <w:r>
              <w:rPr>
                <w:rFonts w:hint="eastAsia" w:ascii="Times New Roman" w:hAnsi="Times New Roman" w:eastAsia="宋体"/>
                <w:b w:val="0"/>
                <w:bCs w:val="0"/>
                <w:sz w:val="21"/>
                <w:szCs w:val="21"/>
                <w:lang w:val="en-US" w:eastAsia="zh-CN"/>
              </w:rPr>
              <w:t>5</w:t>
            </w:r>
            <w:r>
              <w:rPr>
                <w:rFonts w:ascii="Times New Roman" w:hAnsi="Times New Roman" w:eastAsia="宋体"/>
                <w:b w:val="0"/>
                <w:bCs w:val="0"/>
                <w:sz w:val="21"/>
                <w:szCs w:val="21"/>
              </w:rPr>
              <w:t>dB（A））。</w:t>
            </w:r>
          </w:p>
          <w:p w14:paraId="6DD83946">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（4）噪声影响预测模式</w:t>
            </w:r>
          </w:p>
          <w:p w14:paraId="7A28D674">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依据《环境影响评价技术导则 声环境》（HJ2.4-2021），本次评价采用该导则附录B中“B.1工业噪声预测计算模型”进行预测分析。</w:t>
            </w:r>
            <w:r>
              <w:rPr>
                <w:rFonts w:ascii="Times New Roman" w:hAnsi="Times New Roman" w:eastAsia="宋体"/>
                <w:b w:val="0"/>
                <w:bCs w:val="0"/>
                <w:sz w:val="21"/>
                <w:szCs w:val="21"/>
              </w:rPr>
              <w:t>按《环境影响评价技术导则 声环境》（HJ2.4-2021），选择点声源预测模式来模拟预测本项目主要设备声源产生噪声随距离的衰减变化规律。</w:t>
            </w:r>
          </w:p>
          <w:p w14:paraId="5E5C0682">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 xml:space="preserve">① </w:t>
            </w:r>
            <w:r>
              <w:rPr>
                <w:rFonts w:ascii="Times New Roman" w:hAnsi="Times New Roman" w:eastAsia="宋体"/>
                <w:b w:val="0"/>
                <w:bCs w:val="0"/>
                <w:sz w:val="21"/>
                <w:szCs w:val="21"/>
              </w:rPr>
              <w:t>室外声源</w:t>
            </w:r>
            <w:r>
              <w:rPr>
                <w:rFonts w:hint="eastAsia" w:ascii="Times New Roman" w:hAnsi="Times New Roman" w:eastAsia="宋体"/>
                <w:b w:val="0"/>
                <w:bCs w:val="0"/>
                <w:sz w:val="21"/>
                <w:szCs w:val="21"/>
              </w:rPr>
              <w:t>在预测点产生的声级计算模型</w:t>
            </w:r>
          </w:p>
          <w:p w14:paraId="08461541">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户外声传播衰减包括几何发散</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Aarv</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、大气吸收</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Aam</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、地面效应</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Ag</w:t>
            </w:r>
            <w:r>
              <w:rPr>
                <w:rFonts w:hint="eastAsia" w:ascii="Times New Roman" w:hAnsi="Times New Roman" w:eastAsia="宋体"/>
                <w:b w:val="0"/>
                <w:bCs w:val="0"/>
                <w:sz w:val="21"/>
                <w:szCs w:val="21"/>
              </w:rPr>
              <w:t>r</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、障碍物屏蔽</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Abar</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、其他多方面效应</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Amise</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引起的衰减。</w:t>
            </w:r>
          </w:p>
          <w:p w14:paraId="0047E865">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hint="eastAsia" w:ascii="Times New Roman" w:hAnsi="Times New Roman" w:eastAsia="宋体"/>
                <w:b w:val="0"/>
                <w:bCs w:val="0"/>
                <w:sz w:val="21"/>
                <w:szCs w:val="21"/>
              </w:rPr>
            </w:pPr>
            <w:r>
              <w:rPr>
                <w:rFonts w:ascii="Times New Roman" w:hAnsi="Times New Roman" w:eastAsia="宋体"/>
                <w:b w:val="0"/>
                <w:bCs w:val="0"/>
                <w:sz w:val="21"/>
                <w:szCs w:val="21"/>
              </w:rPr>
              <w:t>为简化计算工作，预测计算中只考虑厂区内各声源至受声点（预测点）的距离衰减作用。各声源由于厂内外其它建筑物的屏蔽衰减、空气吸收引起的衰减以及由于云、雾、温度梯度、风及地面其它效应等引起的衰减，因衰减量不大，本次计算忽略不计。</w:t>
            </w:r>
          </w:p>
          <w:p w14:paraId="65263784">
            <w:pPr>
              <w:pStyle w:val="29"/>
              <w:keepNext w:val="0"/>
              <w:keepLines w:val="0"/>
              <w:pageBreakBefore w:val="0"/>
              <w:kinsoku/>
              <w:wordWrap/>
              <w:overflowPunct/>
              <w:topLinePunct w:val="0"/>
              <w:autoSpaceDE/>
              <w:autoSpaceDN/>
              <w:bidi w:val="0"/>
              <w:adjustRightInd/>
              <w:spacing w:after="0" w:line="360" w:lineRule="auto"/>
              <w:ind w:left="0" w:leftChars="0" w:right="0" w:firstLine="0" w:firstLineChars="0"/>
              <w:jc w:val="center"/>
              <w:textAlignment w:val="auto"/>
              <w:rPr>
                <w:rFonts w:ascii="Times New Roman" w:hAnsi="Times New Roman" w:eastAsia="宋体"/>
                <w:b w:val="0"/>
                <w:bCs w:val="0"/>
                <w:sz w:val="21"/>
                <w:szCs w:val="21"/>
                <w:lang w:val="zh-CN"/>
              </w:rPr>
            </w:pPr>
            <w:r>
              <w:rPr>
                <w:rFonts w:ascii="Times New Roman" w:hAnsi="Times New Roman" w:eastAsia="宋体"/>
                <w:b w:val="0"/>
                <w:bCs w:val="0"/>
                <w:sz w:val="21"/>
                <w:szCs w:val="21"/>
                <w:lang w:val="zh-CN"/>
              </w:rPr>
              <w:object>
                <v:shape id="_x0000_i1025" o:spt="75" type="#_x0000_t75" style="height:19.9pt;width:108pt;" o:ole="t" filled="f" o:preferrelative="t" stroked="f" coordsize="21600,21600">
                  <v:path/>
                  <v:fill on="f" focussize="0,0"/>
                  <v:stroke on="f"/>
                  <v:imagedata r:id="rId22" o:title=""/>
                  <o:lock v:ext="edit" aspectratio="t"/>
                  <w10:wrap type="none"/>
                  <w10:anchorlock/>
                </v:shape>
                <o:OLEObject Type="Embed" ProgID="Equations" ShapeID="_x0000_i1025" DrawAspect="Content" ObjectID="_1468075725" r:id="rId21">
                  <o:LockedField>false</o:LockedField>
                </o:OLEObject>
              </w:object>
            </w:r>
          </w:p>
          <w:p w14:paraId="70BC18B6">
            <w:pPr>
              <w:keepNext w:val="0"/>
              <w:keepLines w:val="0"/>
              <w:pageBreakBefore w:val="0"/>
              <w:kinsoku/>
              <w:wordWrap/>
              <w:overflowPunct/>
              <w:topLinePunct w:val="0"/>
              <w:autoSpaceDE/>
              <w:autoSpaceDN/>
              <w:bidi w:val="0"/>
              <w:adjustRightInd/>
              <w:spacing w:line="360" w:lineRule="auto"/>
              <w:ind w:left="0" w:leftChars="0" w:right="0" w:firstLine="480"/>
              <w:textAlignment w:val="auto"/>
              <w:rPr>
                <w:rFonts w:ascii="Times New Roman" w:hAnsi="Times New Roman" w:eastAsia="宋体"/>
                <w:b w:val="0"/>
                <w:bCs w:val="0"/>
                <w:sz w:val="21"/>
                <w:szCs w:val="21"/>
              </w:rPr>
            </w:pPr>
            <w:r>
              <w:rPr>
                <w:rFonts w:ascii="Times New Roman" w:hAnsi="Times New Roman" w:eastAsia="宋体"/>
                <w:b w:val="0"/>
                <w:bCs w:val="0"/>
                <w:sz w:val="21"/>
                <w:szCs w:val="21"/>
                <w:lang w:val="zh-CN"/>
              </w:rPr>
              <w:t>式中：</w:t>
            </w:r>
            <w:r>
              <w:rPr>
                <w:rFonts w:ascii="Times New Roman" w:hAnsi="Times New Roman" w:eastAsia="宋体"/>
                <w:b w:val="0"/>
                <w:bCs w:val="0"/>
                <w:sz w:val="21"/>
                <w:szCs w:val="21"/>
              </w:rPr>
              <w:drawing>
                <wp:inline distT="0" distB="0" distL="114300" distR="114300">
                  <wp:extent cx="402590" cy="197485"/>
                  <wp:effectExtent l="0" t="0" r="1651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402590" cy="197485"/>
                          </a:xfrm>
                          <a:prstGeom prst="rect">
                            <a:avLst/>
                          </a:prstGeom>
                          <a:noFill/>
                          <a:ln>
                            <a:noFill/>
                          </a:ln>
                        </pic:spPr>
                      </pic:pic>
                    </a:graphicData>
                  </a:graphic>
                </wp:inline>
              </w:drawing>
            </w:r>
            <w:r>
              <w:rPr>
                <w:rFonts w:ascii="Times New Roman" w:hAnsi="Times New Roman" w:eastAsia="宋体"/>
                <w:b w:val="0"/>
                <w:bCs w:val="0"/>
                <w:sz w:val="21"/>
                <w:szCs w:val="21"/>
              </w:rPr>
              <w:t>——</w:t>
            </w:r>
            <w:r>
              <w:rPr>
                <w:rFonts w:ascii="Times New Roman" w:hAnsi="Times New Roman" w:eastAsia="宋体"/>
                <w:b w:val="0"/>
                <w:bCs w:val="0"/>
                <w:sz w:val="21"/>
                <w:szCs w:val="21"/>
                <w:lang w:val="zh-CN"/>
              </w:rPr>
              <w:t>距声源</w:t>
            </w:r>
            <w:r>
              <w:rPr>
                <w:rFonts w:hint="eastAsia" w:ascii="Times New Roman" w:hAnsi="Times New Roman" w:eastAsia="宋体"/>
                <w:b w:val="0"/>
                <w:bCs w:val="0"/>
                <w:sz w:val="21"/>
                <w:szCs w:val="21"/>
              </w:rPr>
              <w:t>r</w:t>
            </w:r>
            <w:r>
              <w:rPr>
                <w:rFonts w:ascii="Times New Roman" w:hAnsi="Times New Roman" w:eastAsia="宋体"/>
                <w:b w:val="0"/>
                <w:bCs w:val="0"/>
                <w:sz w:val="21"/>
                <w:szCs w:val="21"/>
              </w:rPr>
              <w:t>处的A声级</w:t>
            </w:r>
            <w:r>
              <w:rPr>
                <w:rFonts w:hint="eastAsia" w:ascii="Times New Roman" w:hAnsi="Times New Roman" w:eastAsia="宋体"/>
                <w:b w:val="0"/>
                <w:bCs w:val="0"/>
                <w:sz w:val="21"/>
                <w:szCs w:val="21"/>
              </w:rPr>
              <w:t>，dB（A）</w:t>
            </w:r>
            <w:r>
              <w:rPr>
                <w:rFonts w:ascii="Times New Roman" w:hAnsi="Times New Roman" w:eastAsia="宋体"/>
                <w:b w:val="0"/>
                <w:bCs w:val="0"/>
                <w:sz w:val="21"/>
                <w:szCs w:val="21"/>
              </w:rPr>
              <w:t>；</w:t>
            </w:r>
          </w:p>
          <w:p w14:paraId="6BA37F18">
            <w:pPr>
              <w:keepNext w:val="0"/>
              <w:keepLines w:val="0"/>
              <w:pageBreakBefore w:val="0"/>
              <w:kinsoku/>
              <w:wordWrap/>
              <w:overflowPunct/>
              <w:topLinePunct w:val="0"/>
              <w:autoSpaceDE/>
              <w:autoSpaceDN/>
              <w:bidi w:val="0"/>
              <w:adjustRightInd/>
              <w:spacing w:line="360" w:lineRule="auto"/>
              <w:ind w:left="0" w:leftChars="0" w:right="0" w:firstLine="945" w:firstLineChars="450"/>
              <w:textAlignment w:val="auto"/>
              <w:rPr>
                <w:rFonts w:ascii="Times New Roman" w:hAnsi="Times New Roman" w:eastAsia="宋体"/>
                <w:b w:val="0"/>
                <w:bCs w:val="0"/>
                <w:sz w:val="21"/>
                <w:szCs w:val="21"/>
              </w:rPr>
            </w:pPr>
            <w:r>
              <w:rPr>
                <w:rFonts w:ascii="Times New Roman" w:hAnsi="Times New Roman" w:eastAsia="宋体"/>
                <w:b w:val="0"/>
                <w:bCs w:val="0"/>
                <w:sz w:val="21"/>
                <w:szCs w:val="21"/>
              </w:rPr>
              <w:drawing>
                <wp:inline distT="0" distB="0" distL="114300" distR="114300">
                  <wp:extent cx="438785" cy="226695"/>
                  <wp:effectExtent l="0" t="0" r="1841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a:fillRect/>
                          </a:stretch>
                        </pic:blipFill>
                        <pic:spPr>
                          <a:xfrm>
                            <a:off x="0" y="0"/>
                            <a:ext cx="438785" cy="226695"/>
                          </a:xfrm>
                          <a:prstGeom prst="rect">
                            <a:avLst/>
                          </a:prstGeom>
                          <a:noFill/>
                          <a:ln>
                            <a:noFill/>
                          </a:ln>
                        </pic:spPr>
                      </pic:pic>
                    </a:graphicData>
                  </a:graphic>
                </wp:inline>
              </w:drawing>
            </w:r>
            <w:r>
              <w:rPr>
                <w:rFonts w:ascii="Times New Roman" w:hAnsi="Times New Roman" w:eastAsia="宋体"/>
                <w:b w:val="0"/>
                <w:bCs w:val="0"/>
                <w:sz w:val="21"/>
                <w:szCs w:val="21"/>
              </w:rPr>
              <w:t>——</w:t>
            </w:r>
            <w:r>
              <w:rPr>
                <w:rFonts w:hint="eastAsia" w:ascii="Times New Roman" w:hAnsi="Times New Roman" w:eastAsia="宋体"/>
                <w:b w:val="0"/>
                <w:bCs w:val="0"/>
                <w:sz w:val="21"/>
                <w:szCs w:val="21"/>
              </w:rPr>
              <w:t>参考位置r0处的</w:t>
            </w:r>
            <w:r>
              <w:rPr>
                <w:rFonts w:ascii="Times New Roman" w:hAnsi="Times New Roman" w:eastAsia="宋体"/>
                <w:b w:val="0"/>
                <w:bCs w:val="0"/>
                <w:sz w:val="21"/>
                <w:szCs w:val="21"/>
                <w:lang w:val="zh-CN"/>
              </w:rPr>
              <w:t>A声级</w:t>
            </w:r>
            <w:r>
              <w:rPr>
                <w:rFonts w:hint="eastAsia" w:ascii="Times New Roman" w:hAnsi="Times New Roman" w:eastAsia="宋体"/>
                <w:b w:val="0"/>
                <w:bCs w:val="0"/>
                <w:sz w:val="21"/>
                <w:szCs w:val="21"/>
              </w:rPr>
              <w:t>，dB（A）</w:t>
            </w:r>
            <w:r>
              <w:rPr>
                <w:rFonts w:ascii="Times New Roman" w:hAnsi="Times New Roman" w:eastAsia="宋体"/>
                <w:b w:val="0"/>
                <w:bCs w:val="0"/>
                <w:sz w:val="21"/>
                <w:szCs w:val="21"/>
              </w:rPr>
              <w:t>；</w:t>
            </w:r>
          </w:p>
          <w:p w14:paraId="0E1D6466">
            <w:pPr>
              <w:keepNext w:val="0"/>
              <w:keepLines w:val="0"/>
              <w:pageBreakBefore w:val="0"/>
              <w:kinsoku/>
              <w:wordWrap/>
              <w:overflowPunct/>
              <w:topLinePunct w:val="0"/>
              <w:autoSpaceDE/>
              <w:autoSpaceDN/>
              <w:bidi w:val="0"/>
              <w:adjustRightInd/>
              <w:spacing w:line="360" w:lineRule="auto"/>
              <w:ind w:left="0" w:leftChars="0" w:right="0" w:firstLine="945" w:firstLineChars="450"/>
              <w:textAlignment w:val="auto"/>
              <w:rPr>
                <w:rFonts w:ascii="Times New Roman" w:hAnsi="Times New Roman" w:eastAsia="宋体"/>
                <w:b w:val="0"/>
                <w:bCs w:val="0"/>
                <w:sz w:val="21"/>
                <w:szCs w:val="21"/>
              </w:rPr>
            </w:pPr>
            <w:r>
              <w:rPr>
                <w:rFonts w:ascii="Times New Roman" w:hAnsi="Times New Roman" w:eastAsia="宋体"/>
                <w:b w:val="0"/>
                <w:bCs w:val="0"/>
                <w:sz w:val="21"/>
                <w:szCs w:val="21"/>
              </w:rPr>
              <w:drawing>
                <wp:inline distT="0" distB="0" distL="114300" distR="114300">
                  <wp:extent cx="336550" cy="168275"/>
                  <wp:effectExtent l="0" t="0" r="6350" b="25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336550" cy="168275"/>
                          </a:xfrm>
                          <a:prstGeom prst="rect">
                            <a:avLst/>
                          </a:prstGeom>
                          <a:noFill/>
                          <a:ln>
                            <a:noFill/>
                          </a:ln>
                        </pic:spPr>
                      </pic:pic>
                    </a:graphicData>
                  </a:graphic>
                </wp:inline>
              </w:drawing>
            </w:r>
            <w:r>
              <w:rPr>
                <w:rFonts w:ascii="Times New Roman" w:hAnsi="Times New Roman" w:eastAsia="宋体"/>
                <w:b w:val="0"/>
                <w:bCs w:val="0"/>
                <w:sz w:val="21"/>
                <w:szCs w:val="21"/>
              </w:rPr>
              <w:t>——</w:t>
            </w:r>
            <w:r>
              <w:rPr>
                <w:rFonts w:ascii="Times New Roman" w:hAnsi="Times New Roman" w:eastAsia="宋体"/>
                <w:b w:val="0"/>
                <w:bCs w:val="0"/>
                <w:sz w:val="21"/>
                <w:szCs w:val="21"/>
                <w:lang w:val="zh-CN"/>
              </w:rPr>
              <w:t>几何发散</w:t>
            </w:r>
            <w:r>
              <w:rPr>
                <w:rFonts w:hint="eastAsia" w:ascii="Times New Roman" w:hAnsi="Times New Roman" w:eastAsia="宋体"/>
                <w:b w:val="0"/>
                <w:bCs w:val="0"/>
                <w:sz w:val="21"/>
                <w:szCs w:val="21"/>
                <w:lang w:val="zh-CN"/>
              </w:rPr>
              <w:t>引起的衰减</w:t>
            </w:r>
            <w:r>
              <w:rPr>
                <w:rFonts w:hint="eastAsia" w:ascii="Times New Roman" w:hAnsi="Times New Roman" w:eastAsia="宋体"/>
                <w:b w:val="0"/>
                <w:bCs w:val="0"/>
                <w:sz w:val="21"/>
                <w:szCs w:val="21"/>
              </w:rPr>
              <w:t>，dB；</w:t>
            </w:r>
            <w:r>
              <w:rPr>
                <w:rFonts w:ascii="Times New Roman" w:hAnsi="Times New Roman" w:eastAsia="宋体"/>
                <w:b w:val="0"/>
                <w:bCs w:val="0"/>
                <w:sz w:val="21"/>
                <w:szCs w:val="21"/>
              </w:rPr>
              <w:object>
                <v:shape id="_x0000_i1026" o:spt="75" type="#_x0000_t75" style="height:19.9pt;width:95.6pt;" o:ole="t" filled="f" o:preferrelative="t" stroked="f" coordsize="21600,21600">
                  <v:path/>
                  <v:fill on="f" focussize="0,0"/>
                  <v:stroke on="f"/>
                  <v:imagedata r:id="rId27" o:title=""/>
                  <o:lock v:ext="edit" aspectratio="t"/>
                  <w10:wrap type="none"/>
                  <w10:anchorlock/>
                </v:shape>
                <o:OLEObject Type="Embed" ProgID="Equations" ShapeID="_x0000_i1026" DrawAspect="Content" ObjectID="_1468075726" r:id="rId26">
                  <o:LockedField>false</o:LockedField>
                </o:OLEObject>
              </w:object>
            </w:r>
          </w:p>
          <w:p w14:paraId="3909C02D">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 xml:space="preserve">② </w:t>
            </w:r>
            <w:r>
              <w:rPr>
                <w:rFonts w:ascii="Times New Roman" w:hAnsi="Times New Roman" w:eastAsia="宋体"/>
                <w:b w:val="0"/>
                <w:bCs w:val="0"/>
                <w:sz w:val="21"/>
                <w:szCs w:val="21"/>
              </w:rPr>
              <w:t>室内声源</w:t>
            </w:r>
          </w:p>
          <w:p w14:paraId="1D3C3F86">
            <w:pPr>
              <w:keepNext w:val="0"/>
              <w:keepLines w:val="0"/>
              <w:pageBreakBefore w:val="0"/>
              <w:kinsoku/>
              <w:wordWrap/>
              <w:overflowPunct/>
              <w:topLinePunct w:val="0"/>
              <w:autoSpaceDE/>
              <w:autoSpaceDN/>
              <w:bidi w:val="0"/>
              <w:adjustRightInd/>
              <w:spacing w:line="360" w:lineRule="auto"/>
              <w:ind w:left="0" w:leftChars="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1）室内声源等效室外声源声功率级计算方法</w:t>
            </w:r>
          </w:p>
          <w:p w14:paraId="1B352330">
            <w:pPr>
              <w:pStyle w:val="9"/>
              <w:keepNext w:val="0"/>
              <w:keepLines w:val="0"/>
              <w:pageBreakBefore w:val="0"/>
              <w:kinsoku/>
              <w:wordWrap/>
              <w:overflowPunct/>
              <w:topLinePunct w:val="0"/>
              <w:autoSpaceDE/>
              <w:autoSpaceDN/>
              <w:bidi w:val="0"/>
              <w:adjustRightInd/>
              <w:spacing w:before="0" w:after="0" w:line="360" w:lineRule="auto"/>
              <w:ind w:left="0" w:leftChars="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声源位于室内，室内声源可采用等效室外声源声功率级法进行计算。设靠近开口处（或窗户）室内、室外某倍频带的声压级或A声级分别为Lp1和Lp2。若声源所在室内声场为近似扩散声场，则室外的倍频带声压级可按以下公式近似求出：</w:t>
            </w:r>
          </w:p>
          <w:p w14:paraId="0F4436B1">
            <w:pPr>
              <w:keepNext w:val="0"/>
              <w:keepLines w:val="0"/>
              <w:pageBreakBefore w:val="0"/>
              <w:kinsoku/>
              <w:wordWrap/>
              <w:overflowPunct/>
              <w:topLinePunct w:val="0"/>
              <w:autoSpaceDE/>
              <w:autoSpaceDN/>
              <w:bidi w:val="0"/>
              <w:adjustRightInd/>
              <w:spacing w:line="360" w:lineRule="auto"/>
              <w:ind w:left="0" w:leftChars="0" w:right="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Lp2Lp1TL6</w:t>
            </w:r>
          </w:p>
          <w:p w14:paraId="63BF83A6">
            <w:pPr>
              <w:keepNext w:val="0"/>
              <w:keepLines w:val="0"/>
              <w:pageBreakBefore w:val="0"/>
              <w:kinsoku/>
              <w:wordWrap/>
              <w:overflowPunct/>
              <w:topLinePunct w:val="0"/>
              <w:autoSpaceDE/>
              <w:autoSpaceDN/>
              <w:bidi w:val="0"/>
              <w:adjustRightInd/>
              <w:spacing w:line="360" w:lineRule="auto"/>
              <w:ind w:left="630" w:leftChars="0" w:right="0" w:hanging="630" w:hangingChars="3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式中：Lp1——靠近开口处（或窗户）室内某倍频带的声压级或A声级，dB；Lp2——靠近开口处（或窗户）室外某倍频带的声压级或A声级，dB；</w:t>
            </w:r>
          </w:p>
          <w:p w14:paraId="5739B4C3">
            <w:pPr>
              <w:keepNext w:val="0"/>
              <w:keepLines w:val="0"/>
              <w:pageBreakBefore w:val="0"/>
              <w:kinsoku/>
              <w:wordWrap/>
              <w:overflowPunct/>
              <w:topLinePunct w:val="0"/>
              <w:autoSpaceDE/>
              <w:autoSpaceDN/>
              <w:bidi w:val="0"/>
              <w:adjustRightInd/>
              <w:spacing w:line="360" w:lineRule="auto"/>
              <w:ind w:left="0" w:leftChars="0" w:right="0" w:firstLine="630" w:firstLineChars="3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TL——隔墙（或窗户）倍频带或A声级的隔声量，dB。</w:t>
            </w:r>
          </w:p>
          <w:p w14:paraId="1CA790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b w:val="0"/>
                <w:bCs w:val="0"/>
                <w:sz w:val="21"/>
                <w:szCs w:val="21"/>
              </w:rPr>
            </w:pPr>
          </w:p>
          <w:p w14:paraId="012533AD">
            <w:pPr>
              <w:pStyle w:val="2"/>
              <w:rPr>
                <w:rFonts w:ascii="Times New Roman" w:hAnsi="Times New Roman" w:eastAsia="宋体"/>
                <w:b w:val="0"/>
                <w:bCs w:val="0"/>
                <w:sz w:val="21"/>
                <w:szCs w:val="21"/>
              </w:rPr>
            </w:pPr>
            <w:r>
              <w:rPr>
                <w:rFonts w:ascii="Times New Roman" w:hAnsi="Times New Roman" w:eastAsia="宋体"/>
                <w:b w:val="0"/>
                <w:bCs w:val="0"/>
                <w:sz w:val="21"/>
                <w:szCs w:val="21"/>
              </w:rPr>
              <w:drawing>
                <wp:anchor distT="0" distB="0" distL="114300" distR="114300" simplePos="0" relativeHeight="251663360" behindDoc="0" locked="0" layoutInCell="1" allowOverlap="1">
                  <wp:simplePos x="0" y="0"/>
                  <wp:positionH relativeFrom="column">
                    <wp:posOffset>1069340</wp:posOffset>
                  </wp:positionH>
                  <wp:positionV relativeFrom="paragraph">
                    <wp:posOffset>37465</wp:posOffset>
                  </wp:positionV>
                  <wp:extent cx="3105150" cy="1495425"/>
                  <wp:effectExtent l="0" t="0" r="0" b="9525"/>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3105150" cy="1495425"/>
                          </a:xfrm>
                          <a:prstGeom prst="rect">
                            <a:avLst/>
                          </a:prstGeom>
                          <a:noFill/>
                          <a:ln>
                            <a:noFill/>
                          </a:ln>
                        </pic:spPr>
                      </pic:pic>
                    </a:graphicData>
                  </a:graphic>
                </wp:anchor>
              </w:drawing>
            </w:r>
          </w:p>
          <w:p w14:paraId="0E030DF1">
            <w:pPr>
              <w:rPr>
                <w:rFonts w:ascii="Times New Roman" w:hAnsi="Times New Roman" w:eastAsia="宋体"/>
                <w:b w:val="0"/>
                <w:bCs w:val="0"/>
                <w:sz w:val="21"/>
                <w:szCs w:val="21"/>
              </w:rPr>
            </w:pPr>
          </w:p>
          <w:p w14:paraId="5D99C250">
            <w:pPr>
              <w:spacing w:line="520" w:lineRule="exact"/>
              <w:ind w:firstLine="420" w:firstLineChars="200"/>
              <w:rPr>
                <w:rFonts w:ascii="Times New Roman" w:hAnsi="Times New Roman" w:eastAsia="宋体"/>
                <w:b w:val="0"/>
                <w:bCs w:val="0"/>
                <w:sz w:val="21"/>
                <w:szCs w:val="21"/>
              </w:rPr>
            </w:pPr>
          </w:p>
          <w:p w14:paraId="70345CB1">
            <w:pPr>
              <w:spacing w:line="520" w:lineRule="exact"/>
              <w:jc w:val="center"/>
              <w:rPr>
                <w:rFonts w:hint="eastAsia" w:ascii="Times New Roman" w:hAnsi="Times New Roman" w:eastAsia="宋体"/>
                <w:b w:val="0"/>
                <w:bCs w:val="0"/>
                <w:sz w:val="21"/>
                <w:szCs w:val="21"/>
              </w:rPr>
            </w:pPr>
          </w:p>
          <w:p w14:paraId="4DF8C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 xml:space="preserve">图4-2  </w:t>
            </w:r>
            <w:r>
              <w:rPr>
                <w:rFonts w:hint="eastAsia" w:ascii="Times New Roman" w:hAnsi="Times New Roman" w:eastAsia="宋体"/>
                <w:b w:val="0"/>
                <w:bCs w:val="0"/>
                <w:sz w:val="21"/>
                <w:szCs w:val="21"/>
              </w:rPr>
              <w:t>室内声源等效为室外声源图例</w:t>
            </w:r>
          </w:p>
          <w:p w14:paraId="0D8CE96A">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也可按式（B.2）计算某一室内声源靠近围护结构处产生的倍频带声压级或 A 声级：</w:t>
            </w:r>
          </w:p>
          <w:p w14:paraId="0AB62D8B">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jc w:val="center"/>
              <w:textAlignment w:val="auto"/>
              <w:rPr>
                <w:rFonts w:hint="eastAsia" w:ascii="Times New Roman" w:hAnsi="Times New Roman" w:eastAsia="宋体"/>
                <w:b w:val="0"/>
                <w:bCs w:val="0"/>
                <w:sz w:val="21"/>
                <w:szCs w:val="21"/>
              </w:rPr>
            </w:pPr>
            <w:r>
              <w:rPr>
                <w:rFonts w:ascii="Times New Roman" w:hAnsi="Times New Roman" w:eastAsia="宋体"/>
                <w:b w:val="0"/>
                <w:bCs w:val="0"/>
                <w:sz w:val="21"/>
                <w:szCs w:val="21"/>
              </w:rPr>
              <w:drawing>
                <wp:inline distT="0" distB="0" distL="114300" distR="114300">
                  <wp:extent cx="1667510" cy="442595"/>
                  <wp:effectExtent l="0" t="0" r="8890" b="146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1667510" cy="442595"/>
                          </a:xfrm>
                          <a:prstGeom prst="rect">
                            <a:avLst/>
                          </a:prstGeom>
                          <a:noFill/>
                          <a:ln>
                            <a:noFill/>
                          </a:ln>
                        </pic:spPr>
                      </pic:pic>
                    </a:graphicData>
                  </a:graphic>
                </wp:inline>
              </w:drawing>
            </w:r>
          </w:p>
          <w:p w14:paraId="2360935F">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式中：Lp1</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靠近开口处（或窗户）室内某倍频带的声压级或 A 声级，dB；</w:t>
            </w:r>
          </w:p>
          <w:p w14:paraId="26311F63">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Lw</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点声源声功率级（A 计权或倍频带），dB；</w:t>
            </w:r>
          </w:p>
          <w:p w14:paraId="61722EE6">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Q</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指向性因数；通常对无指向性声源，当声源放在房间中心时，Q=1；当放在一面墙的中心时，Q=2；当放在两面墙夹角处时，Q=4；当放在三面墙夹角处时，Q=8；</w:t>
            </w:r>
          </w:p>
          <w:p w14:paraId="3424CDF9">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R</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房间常数；R</w:t>
            </w:r>
            <w:r>
              <w:rPr>
                <w:rFonts w:hint="eastAsia" w:ascii="Times New Roman" w:hAnsi="Times New Roman" w:eastAsia="宋体"/>
                <w:b w:val="0"/>
                <w:bCs w:val="0"/>
                <w:sz w:val="21"/>
                <w:szCs w:val="21"/>
                <w:lang w:val="en-US" w:eastAsia="zh-CN"/>
              </w:rPr>
              <w:t>=</w:t>
            </w:r>
            <w:r>
              <w:rPr>
                <w:rFonts w:hint="eastAsia" w:ascii="Times New Roman" w:hAnsi="Times New Roman" w:eastAsia="宋体"/>
                <w:b w:val="0"/>
                <w:bCs w:val="0"/>
                <w:sz w:val="21"/>
                <w:szCs w:val="21"/>
              </w:rPr>
              <w:t>S</w:t>
            </w:r>
            <w:r>
              <w:rPr>
                <w:rFonts w:hint="eastAsia" w:ascii="Times New Roman" w:hAnsi="Times New Roman" w:eastAsia="宋体"/>
                <w:b w:val="0"/>
                <w:bCs w:val="0"/>
                <w:sz w:val="21"/>
                <w:szCs w:val="21"/>
                <w:lang w:val="en-US" w:eastAsia="zh-CN"/>
              </w:rPr>
              <w:t>α/（1-α），</w:t>
            </w:r>
            <w:r>
              <w:rPr>
                <w:rFonts w:hint="eastAsia" w:ascii="Times New Roman" w:hAnsi="Times New Roman" w:eastAsia="宋体"/>
                <w:b w:val="0"/>
                <w:bCs w:val="0"/>
                <w:sz w:val="21"/>
                <w:szCs w:val="21"/>
              </w:rPr>
              <w:t>S，为房间内表面面积，m</w:t>
            </w:r>
            <w:r>
              <w:rPr>
                <w:rFonts w:hint="eastAsia" w:ascii="Times New Roman" w:hAnsi="Times New Roman" w:eastAsia="宋体"/>
                <w:b w:val="0"/>
                <w:bCs w:val="0"/>
                <w:sz w:val="21"/>
                <w:szCs w:val="21"/>
                <w:lang w:val="en-US" w:eastAsia="zh-CN"/>
              </w:rPr>
              <w:t>2：</w:t>
            </w:r>
            <w:r>
              <w:rPr>
                <w:rFonts w:hint="eastAsia" w:ascii="Times New Roman" w:hAnsi="Times New Roman" w:eastAsia="宋体"/>
                <w:b w:val="0"/>
                <w:bCs w:val="0"/>
                <w:sz w:val="21"/>
                <w:szCs w:val="21"/>
              </w:rPr>
              <w:t>α为平均吸声系数；</w:t>
            </w:r>
          </w:p>
          <w:p w14:paraId="6444275A">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r</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声源到靠近围护结构某点处的距离，m。</w:t>
            </w:r>
          </w:p>
          <w:p w14:paraId="6BB832EE">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（5）噪声贡献值</w:t>
            </w:r>
          </w:p>
          <w:p w14:paraId="3899AF18">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噪声贡献值为由建设项目自身声源在预测点产生的声级，其计算公式为：</w:t>
            </w:r>
          </w:p>
          <w:p w14:paraId="1102F289">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drawing>
                <wp:anchor distT="0" distB="0" distL="114300" distR="114300" simplePos="0" relativeHeight="251661312" behindDoc="0" locked="0" layoutInCell="1" allowOverlap="1">
                  <wp:simplePos x="0" y="0"/>
                  <wp:positionH relativeFrom="column">
                    <wp:posOffset>1812290</wp:posOffset>
                  </wp:positionH>
                  <wp:positionV relativeFrom="paragraph">
                    <wp:posOffset>80010</wp:posOffset>
                  </wp:positionV>
                  <wp:extent cx="1847850" cy="571500"/>
                  <wp:effectExtent l="0" t="0" r="0" b="0"/>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1847850" cy="571500"/>
                          </a:xfrm>
                          <a:prstGeom prst="rect">
                            <a:avLst/>
                          </a:prstGeom>
                          <a:noFill/>
                          <a:ln>
                            <a:noFill/>
                          </a:ln>
                        </pic:spPr>
                      </pic:pic>
                    </a:graphicData>
                  </a:graphic>
                </wp:anchor>
              </w:drawing>
            </w:r>
            <w:r>
              <w:rPr>
                <w:rFonts w:hint="eastAsia" w:ascii="Times New Roman" w:hAnsi="Times New Roman" w:eastAsia="宋体"/>
                <w:b w:val="0"/>
                <w:bCs w:val="0"/>
                <w:sz w:val="21"/>
                <w:szCs w:val="21"/>
              </w:rPr>
              <w:t>式中：</w:t>
            </w:r>
            <w:r>
              <w:rPr>
                <w:rFonts w:ascii="Times New Roman" w:hAnsi="Times New Roman" w:eastAsia="宋体"/>
                <w:b w:val="0"/>
                <w:bCs w:val="0"/>
                <w:sz w:val="21"/>
                <w:szCs w:val="21"/>
              </w:rPr>
              <w:t>Leqg——噪声贡献值，dB；</w:t>
            </w:r>
          </w:p>
          <w:p w14:paraId="5331C75F">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1050" w:firstLineChars="5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T——预测计算的时间段，s；</w:t>
            </w:r>
          </w:p>
          <w:p w14:paraId="5547D995">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1050" w:firstLineChars="5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ti——i声源在T时段内的运行时间，s；</w:t>
            </w:r>
          </w:p>
          <w:p w14:paraId="46C1AEB0">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1050" w:firstLineChars="5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LAi——i声源在预测点产生的等效连续A声级，dB。</w:t>
            </w:r>
          </w:p>
          <w:p w14:paraId="421765CE">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ascii="Times New Roman" w:hAnsi="Times New Roman" w:eastAsia="宋体"/>
                <w:b w:val="0"/>
                <w:bCs w:val="0"/>
                <w:sz w:val="21"/>
                <w:szCs w:val="21"/>
              </w:rPr>
              <w:t>（</w:t>
            </w:r>
            <w:r>
              <w:rPr>
                <w:rFonts w:hint="eastAsia" w:ascii="Times New Roman" w:hAnsi="Times New Roman" w:eastAsia="宋体"/>
                <w:b w:val="0"/>
                <w:bCs w:val="0"/>
                <w:sz w:val="21"/>
                <w:szCs w:val="21"/>
              </w:rPr>
              <w:t>6</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噪声预测值</w:t>
            </w:r>
          </w:p>
          <w:p w14:paraId="06BE99B3">
            <w:pPr>
              <w:keepNext w:val="0"/>
              <w:keepLines w:val="0"/>
              <w:pageBreakBefore w:val="0"/>
              <w:tabs>
                <w:tab w:val="left" w:pos="1785"/>
                <w:tab w:val="center" w:pos="4549"/>
              </w:tabs>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ascii="Times New Roman" w:hAnsi="Times New Roman" w:eastAsia="宋体"/>
                <w:b w:val="0"/>
                <w:bCs w:val="0"/>
                <w:sz w:val="21"/>
                <w:szCs w:val="21"/>
              </w:rPr>
              <w:drawing>
                <wp:anchor distT="0" distB="0" distL="114300" distR="114300" simplePos="0" relativeHeight="251662336" behindDoc="0" locked="0" layoutInCell="1" allowOverlap="1">
                  <wp:simplePos x="0" y="0"/>
                  <wp:positionH relativeFrom="column">
                    <wp:posOffset>1452245</wp:posOffset>
                  </wp:positionH>
                  <wp:positionV relativeFrom="paragraph">
                    <wp:posOffset>336550</wp:posOffset>
                  </wp:positionV>
                  <wp:extent cx="2505075" cy="433705"/>
                  <wp:effectExtent l="0" t="0" r="9525" b="444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2505075" cy="433705"/>
                          </a:xfrm>
                          <a:prstGeom prst="rect">
                            <a:avLst/>
                          </a:prstGeom>
                          <a:noFill/>
                          <a:ln>
                            <a:noFill/>
                          </a:ln>
                        </pic:spPr>
                      </pic:pic>
                    </a:graphicData>
                  </a:graphic>
                </wp:anchor>
              </w:drawing>
            </w:r>
            <w:r>
              <w:rPr>
                <w:rFonts w:hint="eastAsia" w:ascii="Times New Roman" w:hAnsi="Times New Roman" w:eastAsia="宋体"/>
                <w:b w:val="0"/>
                <w:bCs w:val="0"/>
                <w:sz w:val="21"/>
                <w:szCs w:val="21"/>
              </w:rPr>
              <w:t>噪声预测值为预测点的贡献值和背景值按能量叠加方法计算得到的声级，其计算公式为：</w:t>
            </w:r>
          </w:p>
          <w:p w14:paraId="681BB305">
            <w:pPr>
              <w:keepNext w:val="0"/>
              <w:keepLines w:val="0"/>
              <w:pageBreakBefore w:val="0"/>
              <w:widowControl w:val="0"/>
              <w:tabs>
                <w:tab w:val="left" w:pos="1785"/>
                <w:tab w:val="center" w:pos="4549"/>
              </w:tabs>
              <w:kinsoku/>
              <w:wordWrap/>
              <w:overflowPunct/>
              <w:topLinePunct w:val="0"/>
              <w:autoSpaceDE/>
              <w:autoSpaceDN/>
              <w:bidi w:val="0"/>
              <w:adjustRightInd/>
              <w:snapToGrid/>
              <w:spacing w:line="360" w:lineRule="auto"/>
              <w:ind w:left="0" w:right="0" w:firstLine="0" w:firstLineChars="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式中：</w:t>
            </w:r>
            <w:r>
              <w:rPr>
                <w:rFonts w:ascii="Times New Roman" w:hAnsi="Times New Roman" w:eastAsia="宋体"/>
                <w:b w:val="0"/>
                <w:bCs w:val="0"/>
                <w:sz w:val="21"/>
                <w:szCs w:val="21"/>
              </w:rPr>
              <w:t>Leq——预测点的噪声预测值，dB；</w:t>
            </w:r>
          </w:p>
          <w:p w14:paraId="256D78D9">
            <w:pPr>
              <w:pStyle w:val="9"/>
              <w:keepNext w:val="0"/>
              <w:keepLines w:val="0"/>
              <w:pageBreakBefore w:val="0"/>
              <w:kinsoku/>
              <w:wordWrap/>
              <w:overflowPunct/>
              <w:topLinePunct w:val="0"/>
              <w:autoSpaceDE/>
              <w:autoSpaceDN/>
              <w:bidi w:val="0"/>
              <w:adjustRightInd/>
              <w:spacing w:before="0" w:after="0" w:line="360" w:lineRule="auto"/>
              <w:ind w:left="0" w:right="0" w:firstLine="630" w:firstLineChars="3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Leqg——建设项目声源在预测点产生的噪声贡献值，dB；</w:t>
            </w:r>
          </w:p>
          <w:p w14:paraId="1774BC7C">
            <w:pPr>
              <w:keepNext w:val="0"/>
              <w:keepLines w:val="0"/>
              <w:pageBreakBefore w:val="0"/>
              <w:kinsoku/>
              <w:wordWrap/>
              <w:overflowPunct/>
              <w:topLinePunct w:val="0"/>
              <w:autoSpaceDE/>
              <w:autoSpaceDN/>
              <w:bidi w:val="0"/>
              <w:adjustRightInd/>
              <w:spacing w:line="360" w:lineRule="auto"/>
              <w:ind w:right="0" w:firstLine="630" w:firstLineChars="30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Leqb——预测点的背景噪声值，dB。</w:t>
            </w:r>
          </w:p>
          <w:p w14:paraId="245DF0B9">
            <w:pPr>
              <w:keepNext w:val="0"/>
              <w:keepLines w:val="0"/>
              <w:pageBreakBefore w:val="0"/>
              <w:kinsoku/>
              <w:wordWrap/>
              <w:overflowPunct/>
              <w:topLinePunct w:val="0"/>
              <w:autoSpaceDE/>
              <w:autoSpaceDN/>
              <w:bidi w:val="0"/>
              <w:adjustRightInd/>
              <w:spacing w:line="360" w:lineRule="auto"/>
              <w:ind w:left="0" w:right="0" w:firstLine="420" w:firstLineChars="20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（7）环境数据</w:t>
            </w:r>
          </w:p>
          <w:p w14:paraId="61641441">
            <w:pPr>
              <w:keepNext w:val="0"/>
              <w:keepLines w:val="0"/>
              <w:pageBreakBefore w:val="0"/>
              <w:kinsoku/>
              <w:wordWrap/>
              <w:overflowPunct/>
              <w:topLinePunct w:val="0"/>
              <w:autoSpaceDE/>
              <w:autoSpaceDN/>
              <w:bidi w:val="0"/>
              <w:adjustRightInd/>
              <w:spacing w:line="360" w:lineRule="auto"/>
              <w:ind w:left="0" w:right="0" w:firstLine="420" w:firstLineChars="20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本</w:t>
            </w:r>
            <w:r>
              <w:rPr>
                <w:rFonts w:ascii="Times New Roman" w:hAnsi="Times New Roman" w:eastAsia="宋体"/>
                <w:b w:val="0"/>
                <w:bCs w:val="0"/>
                <w:sz w:val="21"/>
                <w:szCs w:val="21"/>
              </w:rPr>
              <w:t>项目噪声环境影响预测</w:t>
            </w:r>
            <w:r>
              <w:rPr>
                <w:rFonts w:hint="eastAsia" w:ascii="Times New Roman" w:hAnsi="Times New Roman" w:eastAsia="宋体"/>
                <w:b w:val="0"/>
                <w:bCs w:val="0"/>
                <w:sz w:val="21"/>
                <w:szCs w:val="21"/>
              </w:rPr>
              <w:t>环境</w:t>
            </w:r>
            <w:r>
              <w:rPr>
                <w:rFonts w:ascii="Times New Roman" w:hAnsi="Times New Roman" w:eastAsia="宋体"/>
                <w:b w:val="0"/>
                <w:bCs w:val="0"/>
                <w:sz w:val="21"/>
                <w:szCs w:val="21"/>
              </w:rPr>
              <w:t>数据见表</w:t>
            </w:r>
            <w:r>
              <w:rPr>
                <w:rFonts w:hint="eastAsia" w:ascii="Times New Roman" w:hAnsi="Times New Roman" w:eastAsia="宋体"/>
                <w:b w:val="0"/>
                <w:bCs w:val="0"/>
                <w:sz w:val="21"/>
                <w:szCs w:val="21"/>
              </w:rPr>
              <w:t>4-</w:t>
            </w:r>
            <w:r>
              <w:rPr>
                <w:rFonts w:hint="eastAsia" w:ascii="Times New Roman" w:hAnsi="Times New Roman" w:eastAsia="宋体"/>
                <w:b w:val="0"/>
                <w:bCs w:val="0"/>
                <w:sz w:val="21"/>
                <w:szCs w:val="21"/>
                <w:lang w:val="en-US" w:eastAsia="zh-CN"/>
              </w:rPr>
              <w:t>8</w:t>
            </w:r>
            <w:r>
              <w:rPr>
                <w:rFonts w:ascii="Times New Roman" w:hAnsi="Times New Roman" w:eastAsia="宋体"/>
                <w:b w:val="0"/>
                <w:bCs w:val="0"/>
                <w:sz w:val="21"/>
                <w:szCs w:val="21"/>
              </w:rPr>
              <w:t>。</w:t>
            </w:r>
          </w:p>
          <w:p w14:paraId="2D83AD3F">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表4-</w:t>
            </w:r>
            <w:r>
              <w:rPr>
                <w:rFonts w:hint="eastAsia" w:ascii="黑体" w:hAnsi="黑体" w:eastAsia="黑体" w:cs="黑体"/>
                <w:b w:val="0"/>
                <w:bCs w:val="0"/>
                <w:sz w:val="21"/>
                <w:szCs w:val="21"/>
                <w:lang w:val="en-US" w:eastAsia="zh-CN"/>
              </w:rPr>
              <w:t>8</w:t>
            </w:r>
            <w:r>
              <w:rPr>
                <w:rFonts w:hint="eastAsia" w:ascii="黑体" w:hAnsi="黑体" w:eastAsia="黑体" w:cs="黑体"/>
                <w:b w:val="0"/>
                <w:bCs w:val="0"/>
                <w:sz w:val="21"/>
                <w:szCs w:val="21"/>
              </w:rPr>
              <w:t xml:space="preserve">  项目噪声环境影响预测基础数据表</w:t>
            </w:r>
          </w:p>
          <w:tbl>
            <w:tblPr>
              <w:tblStyle w:val="30"/>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184"/>
              <w:gridCol w:w="808"/>
              <w:gridCol w:w="2434"/>
              <w:gridCol w:w="2135"/>
            </w:tblGrid>
            <w:tr w14:paraId="0C20D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1C3968BC">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序号</w:t>
                  </w:r>
                </w:p>
              </w:tc>
              <w:tc>
                <w:tcPr>
                  <w:tcW w:w="1287" w:type="pct"/>
                  <w:tcBorders>
                    <w:tl2br w:val="nil"/>
                    <w:tr2bl w:val="nil"/>
                  </w:tcBorders>
                  <w:noWrap w:val="0"/>
                  <w:vAlign w:val="center"/>
                </w:tcPr>
                <w:p w14:paraId="3668FBC5">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名称</w:t>
                  </w:r>
                </w:p>
              </w:tc>
              <w:tc>
                <w:tcPr>
                  <w:tcW w:w="476" w:type="pct"/>
                  <w:tcBorders>
                    <w:tl2br w:val="nil"/>
                    <w:tr2bl w:val="nil"/>
                  </w:tcBorders>
                  <w:noWrap w:val="0"/>
                  <w:vAlign w:val="center"/>
                </w:tcPr>
                <w:p w14:paraId="37B32152">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单位</w:t>
                  </w:r>
                </w:p>
              </w:tc>
              <w:tc>
                <w:tcPr>
                  <w:tcW w:w="1434" w:type="pct"/>
                  <w:tcBorders>
                    <w:tl2br w:val="nil"/>
                    <w:tr2bl w:val="nil"/>
                  </w:tcBorders>
                  <w:noWrap w:val="0"/>
                  <w:vAlign w:val="center"/>
                </w:tcPr>
                <w:p w14:paraId="09A36EBA">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数据</w:t>
                  </w:r>
                </w:p>
              </w:tc>
              <w:tc>
                <w:tcPr>
                  <w:tcW w:w="1255" w:type="pct"/>
                  <w:tcBorders>
                    <w:tl2br w:val="nil"/>
                    <w:tr2bl w:val="nil"/>
                  </w:tcBorders>
                  <w:noWrap w:val="0"/>
                  <w:vAlign w:val="center"/>
                </w:tcPr>
                <w:p w14:paraId="268FEDBB">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备注</w:t>
                  </w:r>
                </w:p>
              </w:tc>
            </w:tr>
            <w:tr w14:paraId="41590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7D8652C5">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1</w:t>
                  </w:r>
                </w:p>
              </w:tc>
              <w:tc>
                <w:tcPr>
                  <w:tcW w:w="1287" w:type="pct"/>
                  <w:tcBorders>
                    <w:tl2br w:val="nil"/>
                    <w:tr2bl w:val="nil"/>
                  </w:tcBorders>
                  <w:noWrap w:val="0"/>
                  <w:vAlign w:val="center"/>
                </w:tcPr>
                <w:p w14:paraId="5A79A12A">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年平均风速</w:t>
                  </w:r>
                </w:p>
              </w:tc>
              <w:tc>
                <w:tcPr>
                  <w:tcW w:w="476" w:type="pct"/>
                  <w:tcBorders>
                    <w:tl2br w:val="nil"/>
                    <w:tr2bl w:val="nil"/>
                  </w:tcBorders>
                  <w:noWrap w:val="0"/>
                  <w:vAlign w:val="center"/>
                </w:tcPr>
                <w:p w14:paraId="45B018B4">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m/s</w:t>
                  </w:r>
                </w:p>
              </w:tc>
              <w:tc>
                <w:tcPr>
                  <w:tcW w:w="2240" w:type="dxa"/>
                  <w:tcBorders>
                    <w:tl2br w:val="nil"/>
                    <w:tr2bl w:val="nil"/>
                  </w:tcBorders>
                  <w:noWrap w:val="0"/>
                  <w:vAlign w:val="center"/>
                </w:tcPr>
                <w:p w14:paraId="65BCC233">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aseline"/>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1.4</w:t>
                  </w:r>
                </w:p>
              </w:tc>
              <w:tc>
                <w:tcPr>
                  <w:tcW w:w="1255" w:type="pct"/>
                  <w:tcBorders>
                    <w:tl2br w:val="nil"/>
                    <w:tr2bl w:val="nil"/>
                  </w:tcBorders>
                  <w:noWrap w:val="0"/>
                  <w:vAlign w:val="center"/>
                </w:tcPr>
                <w:p w14:paraId="371D1B93">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r>
            <w:tr w14:paraId="01095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6A678189">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2</w:t>
                  </w:r>
                </w:p>
              </w:tc>
              <w:tc>
                <w:tcPr>
                  <w:tcW w:w="1287" w:type="pct"/>
                  <w:tcBorders>
                    <w:tl2br w:val="nil"/>
                    <w:tr2bl w:val="nil"/>
                  </w:tcBorders>
                  <w:noWrap w:val="0"/>
                  <w:vAlign w:val="center"/>
                </w:tcPr>
                <w:p w14:paraId="09916B48">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主导风向</w:t>
                  </w:r>
                </w:p>
              </w:tc>
              <w:tc>
                <w:tcPr>
                  <w:tcW w:w="476" w:type="pct"/>
                  <w:tcBorders>
                    <w:tl2br w:val="nil"/>
                    <w:tr2bl w:val="nil"/>
                  </w:tcBorders>
                  <w:noWrap w:val="0"/>
                  <w:vAlign w:val="center"/>
                </w:tcPr>
                <w:p w14:paraId="47C6BF5B">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c>
                <w:tcPr>
                  <w:tcW w:w="2240" w:type="dxa"/>
                  <w:tcBorders>
                    <w:tl2br w:val="nil"/>
                    <w:tr2bl w:val="nil"/>
                  </w:tcBorders>
                  <w:noWrap w:val="0"/>
                  <w:vAlign w:val="center"/>
                </w:tcPr>
                <w:p w14:paraId="3A34B2C7">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aseline"/>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西南</w:t>
                  </w:r>
                </w:p>
              </w:tc>
              <w:tc>
                <w:tcPr>
                  <w:tcW w:w="1255" w:type="pct"/>
                  <w:tcBorders>
                    <w:tl2br w:val="nil"/>
                    <w:tr2bl w:val="nil"/>
                  </w:tcBorders>
                  <w:noWrap w:val="0"/>
                  <w:vAlign w:val="center"/>
                </w:tcPr>
                <w:p w14:paraId="7DDEF18B">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r>
            <w:tr w14:paraId="70C56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3E568F78">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3</w:t>
                  </w:r>
                </w:p>
              </w:tc>
              <w:tc>
                <w:tcPr>
                  <w:tcW w:w="1287" w:type="pct"/>
                  <w:tcBorders>
                    <w:tl2br w:val="nil"/>
                    <w:tr2bl w:val="nil"/>
                  </w:tcBorders>
                  <w:noWrap w:val="0"/>
                  <w:vAlign w:val="center"/>
                </w:tcPr>
                <w:p w14:paraId="34AED575">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年平均气温</w:t>
                  </w:r>
                </w:p>
              </w:tc>
              <w:tc>
                <w:tcPr>
                  <w:tcW w:w="476" w:type="pct"/>
                  <w:tcBorders>
                    <w:tl2br w:val="nil"/>
                    <w:tr2bl w:val="nil"/>
                  </w:tcBorders>
                  <w:noWrap w:val="0"/>
                  <w:vAlign w:val="center"/>
                </w:tcPr>
                <w:p w14:paraId="1F7BF0B8">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c>
                <w:tcPr>
                  <w:tcW w:w="2240" w:type="dxa"/>
                  <w:tcBorders>
                    <w:tl2br w:val="nil"/>
                    <w:tr2bl w:val="nil"/>
                  </w:tcBorders>
                  <w:noWrap w:val="0"/>
                  <w:vAlign w:val="center"/>
                </w:tcPr>
                <w:p w14:paraId="0FF18782">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aseline"/>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6.5</w:t>
                  </w:r>
                </w:p>
              </w:tc>
              <w:tc>
                <w:tcPr>
                  <w:tcW w:w="1255" w:type="pct"/>
                  <w:tcBorders>
                    <w:tl2br w:val="nil"/>
                    <w:tr2bl w:val="nil"/>
                  </w:tcBorders>
                  <w:noWrap w:val="0"/>
                  <w:vAlign w:val="center"/>
                </w:tcPr>
                <w:p w14:paraId="2CFF7D61">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r>
            <w:tr w14:paraId="43822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12523CFA">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4</w:t>
                  </w:r>
                </w:p>
              </w:tc>
              <w:tc>
                <w:tcPr>
                  <w:tcW w:w="1287" w:type="pct"/>
                  <w:tcBorders>
                    <w:tl2br w:val="nil"/>
                    <w:tr2bl w:val="nil"/>
                  </w:tcBorders>
                  <w:noWrap w:val="0"/>
                  <w:vAlign w:val="center"/>
                </w:tcPr>
                <w:p w14:paraId="25DB88B5">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年平均相对湿度</w:t>
                  </w:r>
                </w:p>
              </w:tc>
              <w:tc>
                <w:tcPr>
                  <w:tcW w:w="476" w:type="pct"/>
                  <w:tcBorders>
                    <w:tl2br w:val="nil"/>
                    <w:tr2bl w:val="nil"/>
                  </w:tcBorders>
                  <w:noWrap w:val="0"/>
                  <w:vAlign w:val="center"/>
                </w:tcPr>
                <w:p w14:paraId="54F286C1">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c>
                <w:tcPr>
                  <w:tcW w:w="2240" w:type="dxa"/>
                  <w:tcBorders>
                    <w:tl2br w:val="nil"/>
                    <w:tr2bl w:val="nil"/>
                  </w:tcBorders>
                  <w:noWrap w:val="0"/>
                  <w:vAlign w:val="center"/>
                </w:tcPr>
                <w:p w14:paraId="0ED86F5B">
                  <w:pPr>
                    <w:keepNext w:val="0"/>
                    <w:keepLines w:val="0"/>
                    <w:pageBreakBefore w:val="0"/>
                    <w:widowControl/>
                    <w:kinsoku/>
                    <w:wordWrap/>
                    <w:overflowPunct/>
                    <w:topLinePunct/>
                    <w:autoSpaceDE/>
                    <w:autoSpaceDN/>
                    <w:bidi w:val="0"/>
                    <w:adjustRightInd/>
                    <w:snapToGrid/>
                    <w:spacing w:line="240" w:lineRule="auto"/>
                    <w:ind w:firstLine="0" w:firstLineChars="0"/>
                    <w:jc w:val="center"/>
                    <w:textAlignment w:val="baseline"/>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3</w:t>
                  </w:r>
                  <w:r>
                    <w:rPr>
                      <w:rFonts w:hint="eastAsia" w:ascii="Times New Roman" w:hAnsi="Times New Roman" w:eastAsia="宋体"/>
                      <w:b w:val="0"/>
                      <w:bCs w:val="0"/>
                      <w:sz w:val="21"/>
                      <w:szCs w:val="21"/>
                      <w:lang w:val="en-US" w:eastAsia="zh-CN"/>
                    </w:rPr>
                    <w:t>2.3</w:t>
                  </w:r>
                </w:p>
              </w:tc>
              <w:tc>
                <w:tcPr>
                  <w:tcW w:w="1255" w:type="pct"/>
                  <w:tcBorders>
                    <w:tl2br w:val="nil"/>
                    <w:tr2bl w:val="nil"/>
                  </w:tcBorders>
                  <w:noWrap w:val="0"/>
                  <w:vAlign w:val="center"/>
                </w:tcPr>
                <w:p w14:paraId="3986AD2B">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r>
            <w:tr w14:paraId="1DE02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pct"/>
                  <w:tcBorders>
                    <w:tl2br w:val="nil"/>
                    <w:tr2bl w:val="nil"/>
                  </w:tcBorders>
                  <w:noWrap w:val="0"/>
                  <w:vAlign w:val="center"/>
                </w:tcPr>
                <w:p w14:paraId="7C86FA7A">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5</w:t>
                  </w:r>
                </w:p>
              </w:tc>
              <w:tc>
                <w:tcPr>
                  <w:tcW w:w="1287" w:type="pct"/>
                  <w:tcBorders>
                    <w:tl2br w:val="nil"/>
                    <w:tr2bl w:val="nil"/>
                  </w:tcBorders>
                  <w:noWrap w:val="0"/>
                  <w:vAlign w:val="center"/>
                </w:tcPr>
                <w:p w14:paraId="698A77CE">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大气压强</w:t>
                  </w:r>
                </w:p>
              </w:tc>
              <w:tc>
                <w:tcPr>
                  <w:tcW w:w="476" w:type="pct"/>
                  <w:tcBorders>
                    <w:tl2br w:val="nil"/>
                    <w:tr2bl w:val="nil"/>
                  </w:tcBorders>
                  <w:noWrap w:val="0"/>
                  <w:vAlign w:val="center"/>
                </w:tcPr>
                <w:p w14:paraId="510011A2">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k</w:t>
                  </w:r>
                  <w:r>
                    <w:rPr>
                      <w:rFonts w:hint="eastAsia" w:ascii="Times New Roman" w:hAnsi="Times New Roman" w:eastAsia="宋体"/>
                      <w:b w:val="0"/>
                      <w:bCs w:val="0"/>
                      <w:sz w:val="21"/>
                      <w:szCs w:val="21"/>
                    </w:rPr>
                    <w:t>Pa</w:t>
                  </w:r>
                </w:p>
              </w:tc>
              <w:tc>
                <w:tcPr>
                  <w:tcW w:w="2240" w:type="dxa"/>
                  <w:tcBorders>
                    <w:tl2br w:val="nil"/>
                    <w:tr2bl w:val="nil"/>
                  </w:tcBorders>
                  <w:noWrap w:val="0"/>
                  <w:vAlign w:val="center"/>
                </w:tcPr>
                <w:p w14:paraId="36E5852F">
                  <w:pPr>
                    <w:keepNext w:val="0"/>
                    <w:keepLines w:val="0"/>
                    <w:pageBreakBefore w:val="0"/>
                    <w:kinsoku/>
                    <w:wordWrap/>
                    <w:overflowPunct/>
                    <w:autoSpaceDE/>
                    <w:autoSpaceDN/>
                    <w:bidi w:val="0"/>
                    <w:adjustRightInd/>
                    <w:snapToGrid/>
                    <w:spacing w:line="240" w:lineRule="auto"/>
                    <w:ind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94</w:t>
                  </w:r>
                </w:p>
              </w:tc>
              <w:tc>
                <w:tcPr>
                  <w:tcW w:w="1255" w:type="pct"/>
                  <w:tcBorders>
                    <w:tl2br w:val="nil"/>
                    <w:tr2bl w:val="nil"/>
                  </w:tcBorders>
                  <w:noWrap w:val="0"/>
                  <w:vAlign w:val="center"/>
                </w:tcPr>
                <w:p w14:paraId="125D67E3">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w:t>
                  </w:r>
                </w:p>
              </w:tc>
            </w:tr>
            <w:tr w14:paraId="03138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14:paraId="6D0E6AC1">
                  <w:pPr>
                    <w:keepNext w:val="0"/>
                    <w:keepLines w:val="0"/>
                    <w:pageBreakBefore w:val="0"/>
                    <w:kinsoku/>
                    <w:wordWrap/>
                    <w:overflowPunct/>
                    <w:autoSpaceDE/>
                    <w:autoSpaceDN/>
                    <w:bidi w:val="0"/>
                    <w:adjustRightInd/>
                    <w:snapToGrid/>
                    <w:spacing w:line="240" w:lineRule="auto"/>
                    <w:ind w:firstLine="0" w:firstLineChars="0"/>
                    <w:jc w:val="center"/>
                    <w:rPr>
                      <w:rFonts w:ascii="Times New Roman" w:hAnsi="Times New Roman" w:eastAsia="宋体"/>
                      <w:b w:val="0"/>
                      <w:bCs w:val="0"/>
                      <w:sz w:val="21"/>
                      <w:szCs w:val="21"/>
                    </w:rPr>
                  </w:pPr>
                  <w:r>
                    <w:rPr>
                      <w:rFonts w:ascii="Times New Roman" w:hAnsi="Times New Roman" w:eastAsia="宋体"/>
                      <w:b w:val="0"/>
                      <w:bCs w:val="0"/>
                      <w:sz w:val="21"/>
                      <w:szCs w:val="21"/>
                    </w:rPr>
                    <w:t>注：本次不考虑声源和预测点间的地形高差、声源和预测点间障碍物的几何参数、声源和预测点间树林、灌木林的分布情况及地面覆盖情况</w:t>
                  </w:r>
                </w:p>
              </w:tc>
            </w:tr>
          </w:tbl>
          <w:p w14:paraId="120A5A97">
            <w:pPr>
              <w:pStyle w:val="5"/>
              <w:keepNext/>
              <w:keepLines/>
              <w:pageBreakBefore w:val="0"/>
              <w:widowControl w:val="0"/>
              <w:tabs>
                <w:tab w:val="left" w:pos="1080"/>
              </w:tabs>
              <w:kinsoku w:val="0"/>
              <w:wordWrap w:val="0"/>
              <w:overflowPunct w:val="0"/>
              <w:topLinePunct w:val="0"/>
              <w:autoSpaceDE/>
              <w:autoSpaceDN/>
              <w:bidi w:val="0"/>
              <w:adjustRightInd w:val="0"/>
              <w:snapToGrid/>
              <w:spacing w:before="157" w:beforeLines="50" w:after="0" w:line="360" w:lineRule="auto"/>
              <w:ind w:firstLine="420" w:firstLineChars="200"/>
              <w:textAlignment w:val="baseline"/>
              <w:rPr>
                <w:rFonts w:ascii="Times New Roman" w:hAnsi="Times New Roman" w:eastAsia="宋体"/>
                <w:b w:val="0"/>
                <w:bCs w:val="0"/>
                <w:sz w:val="21"/>
                <w:szCs w:val="21"/>
              </w:rPr>
            </w:pPr>
            <w:r>
              <w:rPr>
                <w:rFonts w:hint="eastAsia" w:ascii="Times New Roman" w:hAnsi="Times New Roman" w:eastAsia="宋体"/>
                <w:b w:val="0"/>
                <w:bCs w:val="0"/>
                <w:sz w:val="21"/>
                <w:szCs w:val="21"/>
              </w:rPr>
              <w:t>（8）</w:t>
            </w:r>
            <w:r>
              <w:rPr>
                <w:rFonts w:ascii="Times New Roman" w:hAnsi="Times New Roman" w:eastAsia="宋体"/>
                <w:b w:val="0"/>
                <w:bCs w:val="0"/>
                <w:sz w:val="21"/>
                <w:szCs w:val="21"/>
              </w:rPr>
              <w:t>评价标准</w:t>
            </w:r>
          </w:p>
          <w:p w14:paraId="6B0AECD1">
            <w:pPr>
              <w:pageBreakBefore w:val="0"/>
              <w:widowControl w:val="0"/>
              <w:topLinePunct w:val="0"/>
              <w:autoSpaceDE/>
              <w:autoSpaceDN/>
              <w:bidi w:val="0"/>
              <w:snapToGrid/>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根据《声环境质量标准》功能区的划分，按照《工业企业厂界环境噪声排放标准》（GB12348-2008）适用区域划分中的规定，项目区执行</w:t>
            </w:r>
            <w:r>
              <w:rPr>
                <w:rFonts w:hint="eastAsia" w:ascii="Times New Roman" w:hAnsi="Times New Roman" w:eastAsia="宋体"/>
                <w:b w:val="0"/>
                <w:bCs w:val="0"/>
                <w:sz w:val="21"/>
                <w:szCs w:val="21"/>
                <w:lang w:val="en-US" w:eastAsia="zh-CN"/>
              </w:rPr>
              <w:t>3</w:t>
            </w:r>
            <w:r>
              <w:rPr>
                <w:rFonts w:ascii="Times New Roman" w:hAnsi="Times New Roman" w:eastAsia="宋体"/>
                <w:b w:val="0"/>
                <w:bCs w:val="0"/>
                <w:sz w:val="21"/>
                <w:szCs w:val="21"/>
              </w:rPr>
              <w:t>类标准，即昼间6</w:t>
            </w:r>
            <w:r>
              <w:rPr>
                <w:rFonts w:hint="eastAsia" w:ascii="Times New Roman" w:hAnsi="Times New Roman" w:eastAsia="宋体"/>
                <w:b w:val="0"/>
                <w:bCs w:val="0"/>
                <w:sz w:val="21"/>
                <w:szCs w:val="21"/>
                <w:lang w:val="en-US" w:eastAsia="zh-CN"/>
              </w:rPr>
              <w:t>5</w:t>
            </w:r>
            <w:r>
              <w:rPr>
                <w:rFonts w:ascii="Times New Roman" w:hAnsi="Times New Roman" w:eastAsia="宋体"/>
                <w:b w:val="0"/>
                <w:bCs w:val="0"/>
                <w:sz w:val="21"/>
                <w:szCs w:val="21"/>
              </w:rPr>
              <w:t>dB（A），夜间</w:t>
            </w:r>
            <w:r>
              <w:rPr>
                <w:rFonts w:hint="eastAsia" w:ascii="Times New Roman" w:hAnsi="Times New Roman" w:eastAsia="宋体"/>
                <w:b w:val="0"/>
                <w:bCs w:val="0"/>
                <w:sz w:val="21"/>
                <w:szCs w:val="21"/>
                <w:lang w:val="en-US" w:eastAsia="zh-CN"/>
              </w:rPr>
              <w:t>55</w:t>
            </w:r>
            <w:r>
              <w:rPr>
                <w:rFonts w:ascii="Times New Roman" w:hAnsi="Times New Roman" w:eastAsia="宋体"/>
                <w:b w:val="0"/>
                <w:bCs w:val="0"/>
                <w:sz w:val="21"/>
                <w:szCs w:val="21"/>
              </w:rPr>
              <w:t>dB（A）。</w:t>
            </w:r>
          </w:p>
          <w:p w14:paraId="6D170459">
            <w:pPr>
              <w:pStyle w:val="5"/>
              <w:pageBreakBefore w:val="0"/>
              <w:widowControl w:val="0"/>
              <w:tabs>
                <w:tab w:val="left" w:pos="1080"/>
              </w:tabs>
              <w:kinsoku w:val="0"/>
              <w:wordWrap w:val="0"/>
              <w:overflowPunct w:val="0"/>
              <w:topLinePunct w:val="0"/>
              <w:autoSpaceDE/>
              <w:autoSpaceDN/>
              <w:bidi w:val="0"/>
              <w:snapToGrid/>
              <w:spacing w:before="0" w:after="0" w:line="360" w:lineRule="auto"/>
              <w:ind w:firstLine="420" w:firstLineChars="200"/>
              <w:textAlignment w:val="baseline"/>
              <w:rPr>
                <w:rFonts w:ascii="Times New Roman" w:hAnsi="Times New Roman" w:eastAsia="宋体"/>
                <w:b w:val="0"/>
                <w:bCs w:val="0"/>
                <w:sz w:val="21"/>
                <w:szCs w:val="21"/>
              </w:rPr>
            </w:pPr>
            <w:r>
              <w:rPr>
                <w:rFonts w:hint="eastAsia" w:ascii="Times New Roman" w:hAnsi="Times New Roman" w:eastAsia="宋体"/>
                <w:b w:val="0"/>
                <w:bCs w:val="0"/>
                <w:sz w:val="21"/>
                <w:szCs w:val="21"/>
              </w:rPr>
              <w:t>（9）</w:t>
            </w:r>
            <w:r>
              <w:rPr>
                <w:rFonts w:ascii="Times New Roman" w:hAnsi="Times New Roman" w:eastAsia="宋体"/>
                <w:b w:val="0"/>
                <w:bCs w:val="0"/>
                <w:sz w:val="21"/>
                <w:szCs w:val="21"/>
              </w:rPr>
              <w:t>预测</w:t>
            </w:r>
            <w:r>
              <w:rPr>
                <w:rFonts w:hint="eastAsia" w:ascii="Times New Roman" w:hAnsi="Times New Roman" w:eastAsia="宋体"/>
                <w:b w:val="0"/>
                <w:bCs w:val="0"/>
                <w:sz w:val="21"/>
                <w:szCs w:val="21"/>
              </w:rPr>
              <w:t>和评价结果</w:t>
            </w:r>
            <w:r>
              <w:rPr>
                <w:rFonts w:ascii="Times New Roman" w:hAnsi="Times New Roman" w:eastAsia="宋体"/>
                <w:b w:val="0"/>
                <w:bCs w:val="0"/>
                <w:sz w:val="21"/>
                <w:szCs w:val="21"/>
              </w:rPr>
              <w:t>结果</w:t>
            </w:r>
          </w:p>
          <w:p w14:paraId="59A948C9">
            <w:pPr>
              <w:pStyle w:val="121"/>
              <w:pageBreakBefore w:val="0"/>
              <w:widowControl w:val="0"/>
              <w:topLinePunct w:val="0"/>
              <w:autoSpaceDE/>
              <w:autoSpaceDN/>
              <w:bidi w:val="0"/>
              <w:snapToGrid/>
              <w:spacing w:line="360" w:lineRule="auto"/>
              <w:ind w:firstLine="420"/>
              <w:rPr>
                <w:rFonts w:ascii="Times New Roman" w:hAnsi="Times New Roman" w:eastAsia="宋体"/>
                <w:b w:val="0"/>
                <w:bCs w:val="0"/>
                <w:sz w:val="21"/>
                <w:szCs w:val="21"/>
              </w:rPr>
            </w:pPr>
            <w:r>
              <w:rPr>
                <w:rFonts w:hint="eastAsia" w:ascii="Times New Roman" w:hAnsi="Times New Roman" w:eastAsia="宋体"/>
                <w:b w:val="0"/>
                <w:bCs w:val="0"/>
                <w:sz w:val="21"/>
                <w:szCs w:val="21"/>
              </w:rPr>
              <w:t>本项目声环境评价范围内无声环境保护目标，本项目声环境评价等级为三级，依据《环境影响评价技术导则 声环境》（HJ2.4-2021），本环评预测建设项目在运营期厂界噪声</w:t>
            </w:r>
            <w:r>
              <w:rPr>
                <w:rFonts w:hint="eastAsia" w:ascii="Times New Roman" w:hAnsi="Times New Roman" w:eastAsia="宋体"/>
                <w:b w:val="0"/>
                <w:bCs w:val="0"/>
                <w:sz w:val="21"/>
                <w:szCs w:val="21"/>
                <w:lang w:val="en-US" w:eastAsia="zh-CN"/>
              </w:rPr>
              <w:t>贡献值</w:t>
            </w:r>
            <w:r>
              <w:rPr>
                <w:rFonts w:hint="eastAsia" w:ascii="Times New Roman" w:hAnsi="Times New Roman" w:eastAsia="宋体"/>
                <w:b w:val="0"/>
                <w:bCs w:val="0"/>
                <w:sz w:val="21"/>
                <w:szCs w:val="21"/>
              </w:rPr>
              <w:t>，评价其超标和达标情况。通过预测模型计算，项目厂界噪声</w:t>
            </w:r>
            <w:r>
              <w:rPr>
                <w:rFonts w:hint="eastAsia" w:ascii="Times New Roman" w:hAnsi="Times New Roman" w:eastAsia="宋体"/>
                <w:b w:val="0"/>
                <w:bCs w:val="0"/>
                <w:sz w:val="21"/>
                <w:szCs w:val="21"/>
                <w:lang w:val="en-US" w:eastAsia="zh-CN"/>
              </w:rPr>
              <w:t>贡献值</w:t>
            </w:r>
            <w:r>
              <w:rPr>
                <w:rFonts w:hint="eastAsia" w:ascii="Times New Roman" w:hAnsi="Times New Roman" w:eastAsia="宋体"/>
                <w:b w:val="0"/>
                <w:bCs w:val="0"/>
                <w:sz w:val="21"/>
                <w:szCs w:val="21"/>
              </w:rPr>
              <w:t>结果与达标分析见表4-</w:t>
            </w:r>
            <w:r>
              <w:rPr>
                <w:rFonts w:hint="eastAsia" w:ascii="Times New Roman" w:hAnsi="Times New Roman" w:eastAsia="宋体"/>
                <w:b w:val="0"/>
                <w:bCs w:val="0"/>
                <w:sz w:val="21"/>
                <w:szCs w:val="21"/>
                <w:lang w:val="en-US" w:eastAsia="zh-CN"/>
              </w:rPr>
              <w:t>9</w:t>
            </w:r>
            <w:r>
              <w:rPr>
                <w:rFonts w:ascii="Times New Roman" w:hAnsi="Times New Roman" w:eastAsia="宋体"/>
                <w:b w:val="0"/>
                <w:bCs w:val="0"/>
                <w:sz w:val="21"/>
                <w:szCs w:val="21"/>
              </w:rPr>
              <w:t>。</w:t>
            </w:r>
          </w:p>
          <w:p w14:paraId="3B631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表4-</w:t>
            </w:r>
            <w:r>
              <w:rPr>
                <w:rFonts w:hint="eastAsia" w:ascii="黑体" w:hAnsi="黑体" w:eastAsia="黑体" w:cs="黑体"/>
                <w:b w:val="0"/>
                <w:bCs w:val="0"/>
                <w:sz w:val="21"/>
                <w:szCs w:val="21"/>
                <w:lang w:val="en-US" w:eastAsia="zh-CN"/>
              </w:rPr>
              <w:t>9</w:t>
            </w:r>
            <w:r>
              <w:rPr>
                <w:rFonts w:hint="eastAsia" w:ascii="黑体" w:hAnsi="黑体" w:eastAsia="黑体" w:cs="黑体"/>
                <w:b w:val="0"/>
                <w:bCs w:val="0"/>
                <w:sz w:val="21"/>
                <w:szCs w:val="21"/>
              </w:rPr>
              <w:t xml:space="preserve">   厂界噪声预测结果与达标分析表</w:t>
            </w:r>
          </w:p>
          <w:tbl>
            <w:tblPr>
              <w:tblStyle w:val="30"/>
              <w:tblW w:w="4997"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133"/>
              <w:gridCol w:w="1135"/>
              <w:gridCol w:w="1167"/>
              <w:gridCol w:w="1135"/>
              <w:gridCol w:w="1235"/>
              <w:gridCol w:w="1235"/>
              <w:gridCol w:w="734"/>
            </w:tblGrid>
            <w:tr w14:paraId="16719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1" w:type="pct"/>
                  <w:vMerge w:val="restart"/>
                  <w:tcBorders>
                    <w:tl2br w:val="nil"/>
                    <w:tr2bl w:val="nil"/>
                  </w:tcBorders>
                  <w:noWrap w:val="0"/>
                  <w:vAlign w:val="center"/>
                </w:tcPr>
                <w:p w14:paraId="6115DE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预测方位</w:t>
                  </w:r>
                </w:p>
              </w:tc>
              <w:tc>
                <w:tcPr>
                  <w:tcW w:w="2022" w:type="pct"/>
                  <w:gridSpan w:val="3"/>
                  <w:tcBorders>
                    <w:tl2br w:val="nil"/>
                    <w:tr2bl w:val="nil"/>
                  </w:tcBorders>
                  <w:noWrap w:val="0"/>
                  <w:vAlign w:val="center"/>
                </w:tcPr>
                <w:p w14:paraId="6E6AAA8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lang w:val="en-US" w:eastAsia="zh-CN"/>
                    </w:rPr>
                    <w:t>最大值点</w:t>
                  </w:r>
                  <w:r>
                    <w:rPr>
                      <w:rFonts w:hint="default" w:ascii="Times New Roman" w:hAnsi="Times New Roman" w:eastAsia="宋体"/>
                      <w:b w:val="0"/>
                      <w:bCs w:val="0"/>
                      <w:sz w:val="21"/>
                      <w:szCs w:val="21"/>
                    </w:rPr>
                    <w:t>空间相对位置/m</w:t>
                  </w:r>
                </w:p>
              </w:tc>
              <w:tc>
                <w:tcPr>
                  <w:tcW w:w="668" w:type="pct"/>
                  <w:vMerge w:val="restart"/>
                  <w:tcBorders>
                    <w:tl2br w:val="nil"/>
                    <w:tr2bl w:val="nil"/>
                  </w:tcBorders>
                  <w:noWrap w:val="0"/>
                  <w:vAlign w:val="center"/>
                </w:tcPr>
                <w:p w14:paraId="5DCA8DC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时段</w:t>
                  </w:r>
                </w:p>
              </w:tc>
              <w:tc>
                <w:tcPr>
                  <w:tcW w:w="727" w:type="pct"/>
                  <w:vMerge w:val="restart"/>
                  <w:tcBorders>
                    <w:tl2br w:val="nil"/>
                    <w:tr2bl w:val="nil"/>
                  </w:tcBorders>
                  <w:noWrap w:val="0"/>
                  <w:vAlign w:val="center"/>
                </w:tcPr>
                <w:p w14:paraId="4C171E9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贡献值</w:t>
                  </w:r>
                  <w:r>
                    <w:rPr>
                      <w:rFonts w:ascii="Times New Roman" w:hAnsi="Times New Roman" w:eastAsia="宋体"/>
                      <w:b w:val="0"/>
                      <w:bCs w:val="0"/>
                      <w:sz w:val="21"/>
                      <w:szCs w:val="21"/>
                    </w:rPr>
                    <w:t>（dB</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w:t>
                  </w:r>
                </w:p>
              </w:tc>
              <w:tc>
                <w:tcPr>
                  <w:tcW w:w="727" w:type="pct"/>
                  <w:vMerge w:val="restart"/>
                  <w:tcBorders>
                    <w:tl2br w:val="nil"/>
                    <w:tr2bl w:val="nil"/>
                  </w:tcBorders>
                  <w:noWrap w:val="0"/>
                  <w:vAlign w:val="center"/>
                </w:tcPr>
                <w:p w14:paraId="45328E5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标准限值（dB</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A</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w:t>
                  </w:r>
                </w:p>
              </w:tc>
              <w:tc>
                <w:tcPr>
                  <w:tcW w:w="432" w:type="pct"/>
                  <w:vMerge w:val="restart"/>
                  <w:tcBorders>
                    <w:tl2br w:val="nil"/>
                    <w:tr2bl w:val="nil"/>
                  </w:tcBorders>
                  <w:noWrap w:val="0"/>
                  <w:vAlign w:val="center"/>
                </w:tcPr>
                <w:p w14:paraId="14BF4F7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达标情况</w:t>
                  </w:r>
                </w:p>
              </w:tc>
            </w:tr>
            <w:tr w14:paraId="56DBD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1" w:type="pct"/>
                  <w:vMerge w:val="continue"/>
                  <w:tcBorders>
                    <w:tl2br w:val="nil"/>
                    <w:tr2bl w:val="nil"/>
                  </w:tcBorders>
                  <w:noWrap w:val="0"/>
                  <w:vAlign w:val="center"/>
                </w:tcPr>
                <w:p w14:paraId="5B3C9FA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p>
              </w:tc>
              <w:tc>
                <w:tcPr>
                  <w:tcW w:w="667" w:type="pct"/>
                  <w:tcBorders>
                    <w:tl2br w:val="nil"/>
                    <w:tr2bl w:val="nil"/>
                  </w:tcBorders>
                  <w:noWrap w:val="0"/>
                  <w:vAlign w:val="center"/>
                </w:tcPr>
                <w:p w14:paraId="1D3067F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X</w:t>
                  </w:r>
                </w:p>
              </w:tc>
              <w:tc>
                <w:tcPr>
                  <w:tcW w:w="668" w:type="pct"/>
                  <w:tcBorders>
                    <w:tl2br w:val="nil"/>
                    <w:tr2bl w:val="nil"/>
                  </w:tcBorders>
                  <w:noWrap w:val="0"/>
                  <w:vAlign w:val="center"/>
                </w:tcPr>
                <w:p w14:paraId="18E146A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Y</w:t>
                  </w:r>
                </w:p>
              </w:tc>
              <w:tc>
                <w:tcPr>
                  <w:tcW w:w="687" w:type="pct"/>
                  <w:tcBorders>
                    <w:tl2br w:val="nil"/>
                    <w:tr2bl w:val="nil"/>
                  </w:tcBorders>
                  <w:noWrap w:val="0"/>
                  <w:vAlign w:val="center"/>
                </w:tcPr>
                <w:p w14:paraId="77E4652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Z</w:t>
                  </w:r>
                </w:p>
              </w:tc>
              <w:tc>
                <w:tcPr>
                  <w:tcW w:w="668" w:type="pct"/>
                  <w:vMerge w:val="continue"/>
                  <w:tcBorders>
                    <w:tl2br w:val="nil"/>
                    <w:tr2bl w:val="nil"/>
                  </w:tcBorders>
                  <w:noWrap w:val="0"/>
                  <w:vAlign w:val="center"/>
                </w:tcPr>
                <w:p w14:paraId="0338DC7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p>
              </w:tc>
              <w:tc>
                <w:tcPr>
                  <w:tcW w:w="727" w:type="pct"/>
                  <w:vMerge w:val="continue"/>
                  <w:tcBorders>
                    <w:tl2br w:val="nil"/>
                    <w:tr2bl w:val="nil"/>
                  </w:tcBorders>
                  <w:noWrap w:val="0"/>
                  <w:vAlign w:val="center"/>
                </w:tcPr>
                <w:p w14:paraId="22EC35A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p>
              </w:tc>
              <w:tc>
                <w:tcPr>
                  <w:tcW w:w="727" w:type="pct"/>
                  <w:vMerge w:val="continue"/>
                  <w:tcBorders>
                    <w:tl2br w:val="nil"/>
                    <w:tr2bl w:val="nil"/>
                  </w:tcBorders>
                  <w:noWrap w:val="0"/>
                  <w:vAlign w:val="center"/>
                </w:tcPr>
                <w:p w14:paraId="6D4731B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p>
              </w:tc>
              <w:tc>
                <w:tcPr>
                  <w:tcW w:w="432" w:type="pct"/>
                  <w:vMerge w:val="continue"/>
                  <w:tcBorders>
                    <w:tl2br w:val="nil"/>
                    <w:tr2bl w:val="nil"/>
                  </w:tcBorders>
                  <w:noWrap w:val="0"/>
                  <w:vAlign w:val="center"/>
                </w:tcPr>
                <w:p w14:paraId="1A4A234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p>
              </w:tc>
            </w:tr>
            <w:tr w14:paraId="6052F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21" w:type="pct"/>
                  <w:tcBorders>
                    <w:tl2br w:val="nil"/>
                    <w:tr2bl w:val="nil"/>
                  </w:tcBorders>
                  <w:noWrap w:val="0"/>
                  <w:vAlign w:val="center"/>
                </w:tcPr>
                <w:p w14:paraId="60AF821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东侧</w:t>
                  </w:r>
                </w:p>
              </w:tc>
              <w:tc>
                <w:tcPr>
                  <w:tcW w:w="667" w:type="pct"/>
                  <w:tcBorders>
                    <w:tl2br w:val="nil"/>
                    <w:tr2bl w:val="nil"/>
                  </w:tcBorders>
                  <w:noWrap w:val="0"/>
                  <w:vAlign w:val="center"/>
                </w:tcPr>
                <w:p w14:paraId="39F27C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-1.2</w:t>
                  </w:r>
                </w:p>
              </w:tc>
              <w:tc>
                <w:tcPr>
                  <w:tcW w:w="668" w:type="pct"/>
                  <w:tcBorders>
                    <w:tl2br w:val="nil"/>
                    <w:tr2bl w:val="nil"/>
                  </w:tcBorders>
                  <w:noWrap w:val="0"/>
                  <w:vAlign w:val="center"/>
                </w:tcPr>
                <w:p w14:paraId="642E098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-4.2</w:t>
                  </w:r>
                </w:p>
              </w:tc>
              <w:tc>
                <w:tcPr>
                  <w:tcW w:w="687" w:type="pct"/>
                  <w:tcBorders>
                    <w:tl2br w:val="nil"/>
                    <w:tr2bl w:val="nil"/>
                  </w:tcBorders>
                  <w:noWrap w:val="0"/>
                  <w:vAlign w:val="center"/>
                </w:tcPr>
                <w:p w14:paraId="6026F0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1.2</w:t>
                  </w:r>
                </w:p>
              </w:tc>
              <w:tc>
                <w:tcPr>
                  <w:tcW w:w="668" w:type="pct"/>
                  <w:tcBorders>
                    <w:tl2br w:val="nil"/>
                    <w:tr2bl w:val="nil"/>
                  </w:tcBorders>
                  <w:noWrap w:val="0"/>
                  <w:vAlign w:val="center"/>
                </w:tcPr>
                <w:p w14:paraId="7BDF029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ascii="Times New Roman" w:hAnsi="Times New Roman" w:eastAsia="宋体"/>
                      <w:b w:val="0"/>
                      <w:bCs w:val="0"/>
                      <w:sz w:val="21"/>
                      <w:szCs w:val="21"/>
                    </w:rPr>
                    <w:t>昼间</w:t>
                  </w:r>
                </w:p>
              </w:tc>
              <w:tc>
                <w:tcPr>
                  <w:tcW w:w="727" w:type="pct"/>
                  <w:tcBorders>
                    <w:tl2br w:val="nil"/>
                    <w:tr2bl w:val="nil"/>
                  </w:tcBorders>
                  <w:noWrap w:val="0"/>
                  <w:vAlign w:val="center"/>
                </w:tcPr>
                <w:p w14:paraId="30A21D7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41.1</w:t>
                  </w:r>
                </w:p>
              </w:tc>
              <w:tc>
                <w:tcPr>
                  <w:tcW w:w="727" w:type="pct"/>
                  <w:tcBorders>
                    <w:tl2br w:val="nil"/>
                    <w:tr2bl w:val="nil"/>
                  </w:tcBorders>
                  <w:noWrap w:val="0"/>
                  <w:vAlign w:val="center"/>
                </w:tcPr>
                <w:p w14:paraId="5CBA6BA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65</w:t>
                  </w:r>
                </w:p>
              </w:tc>
              <w:tc>
                <w:tcPr>
                  <w:tcW w:w="432" w:type="pct"/>
                  <w:tcBorders>
                    <w:tl2br w:val="nil"/>
                    <w:tr2bl w:val="nil"/>
                  </w:tcBorders>
                  <w:noWrap w:val="0"/>
                  <w:vAlign w:val="center"/>
                </w:tcPr>
                <w:p w14:paraId="0EBFF53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达标</w:t>
                  </w:r>
                </w:p>
              </w:tc>
            </w:tr>
            <w:tr w14:paraId="2986D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tcBorders>
                    <w:tl2br w:val="nil"/>
                    <w:tr2bl w:val="nil"/>
                  </w:tcBorders>
                  <w:noWrap w:val="0"/>
                  <w:vAlign w:val="center"/>
                </w:tcPr>
                <w:p w14:paraId="780ACFC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南侧</w:t>
                  </w:r>
                </w:p>
              </w:tc>
              <w:tc>
                <w:tcPr>
                  <w:tcW w:w="667" w:type="pct"/>
                  <w:tcBorders>
                    <w:tl2br w:val="nil"/>
                    <w:tr2bl w:val="nil"/>
                  </w:tcBorders>
                  <w:noWrap w:val="0"/>
                  <w:vAlign w:val="center"/>
                </w:tcPr>
                <w:p w14:paraId="7B39A1D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-8.9</w:t>
                  </w:r>
                </w:p>
              </w:tc>
              <w:tc>
                <w:tcPr>
                  <w:tcW w:w="668" w:type="pct"/>
                  <w:tcBorders>
                    <w:tl2br w:val="nil"/>
                    <w:tr2bl w:val="nil"/>
                  </w:tcBorders>
                  <w:noWrap w:val="0"/>
                  <w:vAlign w:val="center"/>
                </w:tcPr>
                <w:p w14:paraId="4A6DEE5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-5.2</w:t>
                  </w:r>
                </w:p>
              </w:tc>
              <w:tc>
                <w:tcPr>
                  <w:tcW w:w="687" w:type="pct"/>
                  <w:tcBorders>
                    <w:tl2br w:val="nil"/>
                    <w:tr2bl w:val="nil"/>
                  </w:tcBorders>
                  <w:noWrap w:val="0"/>
                  <w:vAlign w:val="center"/>
                </w:tcPr>
                <w:p w14:paraId="4345FDD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1.2</w:t>
                  </w:r>
                </w:p>
              </w:tc>
              <w:tc>
                <w:tcPr>
                  <w:tcW w:w="668" w:type="pct"/>
                  <w:tcBorders>
                    <w:tl2br w:val="nil"/>
                    <w:tr2bl w:val="nil"/>
                  </w:tcBorders>
                  <w:noWrap w:val="0"/>
                  <w:vAlign w:val="center"/>
                </w:tcPr>
                <w:p w14:paraId="43F2B7A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ascii="Times New Roman" w:hAnsi="Times New Roman" w:eastAsia="宋体"/>
                      <w:b w:val="0"/>
                      <w:bCs w:val="0"/>
                      <w:sz w:val="21"/>
                      <w:szCs w:val="21"/>
                    </w:rPr>
                    <w:t>昼间</w:t>
                  </w:r>
                </w:p>
              </w:tc>
              <w:tc>
                <w:tcPr>
                  <w:tcW w:w="727" w:type="pct"/>
                  <w:tcBorders>
                    <w:tl2br w:val="nil"/>
                    <w:tr2bl w:val="nil"/>
                  </w:tcBorders>
                  <w:noWrap w:val="0"/>
                  <w:vAlign w:val="center"/>
                </w:tcPr>
                <w:p w14:paraId="1EB4BBD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38.6</w:t>
                  </w:r>
                </w:p>
              </w:tc>
              <w:tc>
                <w:tcPr>
                  <w:tcW w:w="727" w:type="pct"/>
                  <w:tcBorders>
                    <w:tl2br w:val="nil"/>
                    <w:tr2bl w:val="nil"/>
                  </w:tcBorders>
                  <w:noWrap w:val="0"/>
                  <w:vAlign w:val="center"/>
                </w:tcPr>
                <w:p w14:paraId="7864E06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65</w:t>
                  </w:r>
                </w:p>
              </w:tc>
              <w:tc>
                <w:tcPr>
                  <w:tcW w:w="432" w:type="pct"/>
                  <w:tcBorders>
                    <w:tl2br w:val="nil"/>
                    <w:tr2bl w:val="nil"/>
                  </w:tcBorders>
                  <w:noWrap w:val="0"/>
                  <w:vAlign w:val="center"/>
                </w:tcPr>
                <w:p w14:paraId="10A6D8F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达标</w:t>
                  </w:r>
                </w:p>
              </w:tc>
            </w:tr>
            <w:tr w14:paraId="70AF9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421" w:type="pct"/>
                  <w:tcBorders>
                    <w:tl2br w:val="nil"/>
                    <w:tr2bl w:val="nil"/>
                  </w:tcBorders>
                  <w:noWrap w:val="0"/>
                  <w:vAlign w:val="center"/>
                </w:tcPr>
                <w:p w14:paraId="1248849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西侧</w:t>
                  </w:r>
                </w:p>
              </w:tc>
              <w:tc>
                <w:tcPr>
                  <w:tcW w:w="667" w:type="pct"/>
                  <w:tcBorders>
                    <w:tl2br w:val="nil"/>
                    <w:tr2bl w:val="nil"/>
                  </w:tcBorders>
                  <w:noWrap w:val="0"/>
                  <w:vAlign w:val="center"/>
                </w:tcPr>
                <w:p w14:paraId="23D20AA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-18.1</w:t>
                  </w:r>
                </w:p>
              </w:tc>
              <w:tc>
                <w:tcPr>
                  <w:tcW w:w="668" w:type="pct"/>
                  <w:tcBorders>
                    <w:tl2br w:val="nil"/>
                    <w:tr2bl w:val="nil"/>
                  </w:tcBorders>
                  <w:noWrap w:val="0"/>
                  <w:vAlign w:val="center"/>
                </w:tcPr>
                <w:p w14:paraId="1BCAB07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-6.1</w:t>
                  </w:r>
                </w:p>
              </w:tc>
              <w:tc>
                <w:tcPr>
                  <w:tcW w:w="687" w:type="pct"/>
                  <w:tcBorders>
                    <w:tl2br w:val="nil"/>
                    <w:tr2bl w:val="nil"/>
                  </w:tcBorders>
                  <w:noWrap w:val="0"/>
                  <w:vAlign w:val="center"/>
                </w:tcPr>
                <w:p w14:paraId="391A42B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1.2</w:t>
                  </w:r>
                </w:p>
              </w:tc>
              <w:tc>
                <w:tcPr>
                  <w:tcW w:w="668" w:type="pct"/>
                  <w:tcBorders>
                    <w:tl2br w:val="nil"/>
                    <w:tr2bl w:val="nil"/>
                  </w:tcBorders>
                  <w:noWrap w:val="0"/>
                  <w:vAlign w:val="center"/>
                </w:tcPr>
                <w:p w14:paraId="0375C06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ascii="Times New Roman" w:hAnsi="Times New Roman" w:eastAsia="宋体"/>
                      <w:b w:val="0"/>
                      <w:bCs w:val="0"/>
                      <w:sz w:val="21"/>
                      <w:szCs w:val="21"/>
                    </w:rPr>
                    <w:t>昼间</w:t>
                  </w:r>
                </w:p>
              </w:tc>
              <w:tc>
                <w:tcPr>
                  <w:tcW w:w="727" w:type="pct"/>
                  <w:tcBorders>
                    <w:tl2br w:val="nil"/>
                    <w:tr2bl w:val="nil"/>
                  </w:tcBorders>
                  <w:noWrap w:val="0"/>
                  <w:vAlign w:val="center"/>
                </w:tcPr>
                <w:p w14:paraId="0221F09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40.8</w:t>
                  </w:r>
                </w:p>
              </w:tc>
              <w:tc>
                <w:tcPr>
                  <w:tcW w:w="727" w:type="pct"/>
                  <w:tcBorders>
                    <w:tl2br w:val="nil"/>
                    <w:tr2bl w:val="nil"/>
                  </w:tcBorders>
                  <w:noWrap w:val="0"/>
                  <w:vAlign w:val="center"/>
                </w:tcPr>
                <w:p w14:paraId="7F4C6EB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65</w:t>
                  </w:r>
                </w:p>
              </w:tc>
              <w:tc>
                <w:tcPr>
                  <w:tcW w:w="432" w:type="pct"/>
                  <w:tcBorders>
                    <w:tl2br w:val="nil"/>
                    <w:tr2bl w:val="nil"/>
                  </w:tcBorders>
                  <w:noWrap w:val="0"/>
                  <w:vAlign w:val="center"/>
                </w:tcPr>
                <w:p w14:paraId="3D9E74B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达标</w:t>
                  </w:r>
                </w:p>
              </w:tc>
            </w:tr>
            <w:tr w14:paraId="663BB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tcBorders>
                    <w:tl2br w:val="nil"/>
                    <w:tr2bl w:val="nil"/>
                  </w:tcBorders>
                  <w:noWrap w:val="0"/>
                  <w:vAlign w:val="center"/>
                </w:tcPr>
                <w:p w14:paraId="1D4F7AE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北侧</w:t>
                  </w:r>
                </w:p>
              </w:tc>
              <w:tc>
                <w:tcPr>
                  <w:tcW w:w="667" w:type="pct"/>
                  <w:tcBorders>
                    <w:tl2br w:val="nil"/>
                    <w:tr2bl w:val="nil"/>
                  </w:tcBorders>
                  <w:noWrap w:val="0"/>
                  <w:vAlign w:val="center"/>
                </w:tcPr>
                <w:p w14:paraId="58DE88C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-9.1</w:t>
                  </w:r>
                </w:p>
              </w:tc>
              <w:tc>
                <w:tcPr>
                  <w:tcW w:w="668" w:type="pct"/>
                  <w:tcBorders>
                    <w:tl2br w:val="nil"/>
                    <w:tr2bl w:val="nil"/>
                  </w:tcBorders>
                  <w:noWrap w:val="0"/>
                  <w:vAlign w:val="center"/>
                </w:tcPr>
                <w:p w14:paraId="6280AE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-1.4</w:t>
                  </w:r>
                </w:p>
              </w:tc>
              <w:tc>
                <w:tcPr>
                  <w:tcW w:w="687" w:type="pct"/>
                  <w:tcBorders>
                    <w:tl2br w:val="nil"/>
                    <w:tr2bl w:val="nil"/>
                  </w:tcBorders>
                  <w:noWrap w:val="0"/>
                  <w:vAlign w:val="center"/>
                </w:tcPr>
                <w:p w14:paraId="48832D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1.2</w:t>
                  </w:r>
                </w:p>
              </w:tc>
              <w:tc>
                <w:tcPr>
                  <w:tcW w:w="668" w:type="pct"/>
                  <w:tcBorders>
                    <w:tl2br w:val="nil"/>
                    <w:tr2bl w:val="nil"/>
                  </w:tcBorders>
                  <w:noWrap w:val="0"/>
                  <w:vAlign w:val="center"/>
                </w:tcPr>
                <w:p w14:paraId="09A4DE4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lang w:val="en-US" w:eastAsia="zh-CN"/>
                    </w:rPr>
                  </w:pPr>
                  <w:r>
                    <w:rPr>
                      <w:rFonts w:ascii="Times New Roman" w:hAnsi="Times New Roman" w:eastAsia="宋体"/>
                      <w:b w:val="0"/>
                      <w:bCs w:val="0"/>
                      <w:sz w:val="21"/>
                      <w:szCs w:val="21"/>
                    </w:rPr>
                    <w:t>昼间</w:t>
                  </w:r>
                </w:p>
              </w:tc>
              <w:tc>
                <w:tcPr>
                  <w:tcW w:w="727" w:type="pct"/>
                  <w:tcBorders>
                    <w:tl2br w:val="nil"/>
                    <w:tr2bl w:val="nil"/>
                  </w:tcBorders>
                  <w:noWrap w:val="0"/>
                  <w:vAlign w:val="center"/>
                </w:tcPr>
                <w:p w14:paraId="757A7FC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41.5</w:t>
                  </w:r>
                </w:p>
              </w:tc>
              <w:tc>
                <w:tcPr>
                  <w:tcW w:w="727" w:type="pct"/>
                  <w:tcBorders>
                    <w:tl2br w:val="nil"/>
                    <w:tr2bl w:val="nil"/>
                  </w:tcBorders>
                  <w:noWrap w:val="0"/>
                  <w:vAlign w:val="center"/>
                </w:tcPr>
                <w:p w14:paraId="2BBA9CE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65</w:t>
                  </w:r>
                </w:p>
              </w:tc>
              <w:tc>
                <w:tcPr>
                  <w:tcW w:w="432" w:type="pct"/>
                  <w:tcBorders>
                    <w:tl2br w:val="nil"/>
                    <w:tr2bl w:val="nil"/>
                  </w:tcBorders>
                  <w:noWrap w:val="0"/>
                  <w:vAlign w:val="center"/>
                </w:tcPr>
                <w:p w14:paraId="4BD7A91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达标</w:t>
                  </w:r>
                </w:p>
              </w:tc>
            </w:tr>
          </w:tbl>
          <w:p w14:paraId="74BEDDE8">
            <w:pPr>
              <w:pStyle w:val="121"/>
              <w:keepNext w:val="0"/>
              <w:keepLines w:val="0"/>
              <w:pageBreakBefore w:val="0"/>
              <w:widowControl w:val="0"/>
              <w:kinsoku/>
              <w:wordWrap/>
              <w:overflowPunct/>
              <w:topLinePunct w:val="0"/>
              <w:autoSpaceDE/>
              <w:autoSpaceDN/>
              <w:bidi w:val="0"/>
              <w:adjustRightInd/>
              <w:snapToGrid/>
              <w:spacing w:before="156" w:beforeLines="50" w:line="360" w:lineRule="auto"/>
              <w:ind w:firstLine="42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由表4-</w:t>
            </w:r>
            <w:r>
              <w:rPr>
                <w:rFonts w:hint="eastAsia" w:ascii="Times New Roman" w:hAnsi="Times New Roman" w:eastAsia="宋体"/>
                <w:b w:val="0"/>
                <w:bCs w:val="0"/>
                <w:sz w:val="21"/>
                <w:szCs w:val="21"/>
                <w:lang w:val="en-US" w:eastAsia="zh-CN"/>
              </w:rPr>
              <w:t>10</w:t>
            </w:r>
            <w:r>
              <w:rPr>
                <w:rFonts w:ascii="Times New Roman" w:hAnsi="Times New Roman" w:eastAsia="宋体"/>
                <w:b w:val="0"/>
                <w:bCs w:val="0"/>
                <w:sz w:val="21"/>
                <w:szCs w:val="21"/>
              </w:rPr>
              <w:t>可知，在采取了项目环评提出的降噪措施后，项目建成后运行噪声</w:t>
            </w:r>
            <w:r>
              <w:rPr>
                <w:rFonts w:hint="eastAsia" w:ascii="Times New Roman" w:hAnsi="Times New Roman" w:eastAsia="宋体"/>
                <w:b w:val="0"/>
                <w:bCs w:val="0"/>
                <w:sz w:val="21"/>
                <w:szCs w:val="21"/>
                <w:lang w:val="en-US" w:eastAsia="zh-CN"/>
              </w:rPr>
              <w:t>厂界贡献值</w:t>
            </w:r>
            <w:r>
              <w:rPr>
                <w:rFonts w:ascii="Times New Roman" w:hAnsi="Times New Roman" w:eastAsia="宋体"/>
                <w:b w:val="0"/>
                <w:bCs w:val="0"/>
                <w:sz w:val="21"/>
                <w:szCs w:val="21"/>
              </w:rPr>
              <w:t>在</w:t>
            </w:r>
            <w:r>
              <w:rPr>
                <w:rFonts w:hint="eastAsia" w:ascii="Times New Roman" w:hAnsi="Times New Roman" w:eastAsia="宋体"/>
                <w:b w:val="0"/>
                <w:bCs w:val="0"/>
                <w:sz w:val="21"/>
                <w:szCs w:val="21"/>
                <w:lang w:val="en-US" w:eastAsia="zh-CN"/>
              </w:rPr>
              <w:t>39.5</w:t>
            </w:r>
            <w:r>
              <w:rPr>
                <w:rFonts w:ascii="Times New Roman" w:hAnsi="Times New Roman" w:eastAsia="宋体"/>
                <w:b w:val="0"/>
                <w:bCs w:val="0"/>
                <w:sz w:val="21"/>
                <w:szCs w:val="21"/>
              </w:rPr>
              <w:t>dB（A）~</w:t>
            </w:r>
            <w:r>
              <w:rPr>
                <w:rFonts w:hint="eastAsia" w:ascii="Times New Roman" w:hAnsi="Times New Roman" w:eastAsia="宋体"/>
                <w:b w:val="0"/>
                <w:bCs w:val="0"/>
                <w:sz w:val="21"/>
                <w:szCs w:val="21"/>
                <w:lang w:val="en-US" w:eastAsia="zh-CN"/>
              </w:rPr>
              <w:t>54.7</w:t>
            </w:r>
            <w:r>
              <w:rPr>
                <w:rFonts w:ascii="Times New Roman" w:hAnsi="Times New Roman" w:eastAsia="宋体"/>
                <w:b w:val="0"/>
                <w:bCs w:val="0"/>
                <w:sz w:val="21"/>
                <w:szCs w:val="21"/>
              </w:rPr>
              <w:t>dB（A）之间，均满足《工业企业厂界环境噪声排放标准》（GB12348-2008）</w:t>
            </w:r>
            <w:r>
              <w:rPr>
                <w:rFonts w:hint="eastAsia" w:ascii="Times New Roman" w:hAnsi="Times New Roman" w:eastAsia="宋体"/>
                <w:b w:val="0"/>
                <w:bCs w:val="0"/>
                <w:sz w:val="21"/>
                <w:szCs w:val="21"/>
                <w:lang w:val="en-US" w:eastAsia="zh-CN"/>
              </w:rPr>
              <w:t>3</w:t>
            </w:r>
            <w:r>
              <w:rPr>
                <w:rFonts w:ascii="Times New Roman" w:hAnsi="Times New Roman" w:eastAsia="宋体"/>
                <w:b w:val="0"/>
                <w:bCs w:val="0"/>
                <w:sz w:val="21"/>
                <w:szCs w:val="21"/>
              </w:rPr>
              <w:t>类标准昼、夜间要求，不会产生超标排放</w:t>
            </w:r>
            <w:r>
              <w:rPr>
                <w:rFonts w:hint="eastAsia" w:ascii="Times New Roman" w:hAnsi="Times New Roman" w:eastAsia="宋体"/>
                <w:b w:val="0"/>
                <w:bCs w:val="0"/>
                <w:sz w:val="21"/>
                <w:szCs w:val="21"/>
              </w:rPr>
              <w:t>和</w:t>
            </w:r>
            <w:r>
              <w:rPr>
                <w:rFonts w:ascii="Times New Roman" w:hAnsi="Times New Roman" w:eastAsia="宋体"/>
                <w:b w:val="0"/>
                <w:bCs w:val="0"/>
                <w:sz w:val="21"/>
                <w:szCs w:val="21"/>
              </w:rPr>
              <w:t>噪声扰民的现象。</w:t>
            </w:r>
          </w:p>
          <w:p w14:paraId="0EFBB306">
            <w:pPr>
              <w:topLinePunct/>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w:t>
            </w:r>
            <w:r>
              <w:rPr>
                <w:rFonts w:hint="eastAsia" w:ascii="Times New Roman" w:hAnsi="Times New Roman" w:eastAsia="宋体"/>
                <w:b w:val="0"/>
                <w:bCs w:val="0"/>
                <w:sz w:val="21"/>
                <w:szCs w:val="21"/>
              </w:rPr>
              <w:t>10</w:t>
            </w:r>
            <w:r>
              <w:rPr>
                <w:rFonts w:ascii="Times New Roman" w:hAnsi="Times New Roman" w:eastAsia="宋体"/>
                <w:b w:val="0"/>
                <w:bCs w:val="0"/>
                <w:sz w:val="21"/>
                <w:szCs w:val="21"/>
              </w:rPr>
              <w:t>）噪声防治措施</w:t>
            </w:r>
          </w:p>
          <w:p w14:paraId="0EA743D7">
            <w:pPr>
              <w:topLinePunct/>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为进一步减小噪声对声环境和工作人员的影响，环评要求建设单位采取以下噪声防治措施：</w:t>
            </w:r>
          </w:p>
          <w:p w14:paraId="160A3E57">
            <w:pPr>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① 在满足生产工艺需求的前提下，对生产设备要选用优质低噪声设备，以减轻噪声对环境的污染；</w:t>
            </w:r>
          </w:p>
          <w:p w14:paraId="7B81B5B4">
            <w:pPr>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② 加厚设备基底、设备缓冲器，在设备基座与基础之间设橡胶隔振垫，同时安装防震垫，吸声等降噪设备；</w:t>
            </w:r>
          </w:p>
          <w:p w14:paraId="58941083">
            <w:pPr>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③ 定期检查、及时对设备保养和维修，对不符合要求的设备及时更换，使设备处于良好的技术状态，防止机械噪声的升高；</w:t>
            </w:r>
          </w:p>
          <w:p w14:paraId="462784C3">
            <w:pPr>
              <w:spacing w:line="360" w:lineRule="auto"/>
              <w:ind w:firstLine="420" w:firstLineChars="200"/>
              <w:rPr>
                <w:rFonts w:hint="default" w:ascii="Times New Roman" w:hAnsi="Times New Roman" w:eastAsia="宋体"/>
                <w:b w:val="0"/>
                <w:bCs w:val="0"/>
                <w:sz w:val="21"/>
                <w:szCs w:val="21"/>
                <w:lang w:val="en-US"/>
              </w:rPr>
            </w:pPr>
            <w:r>
              <w:rPr>
                <w:rFonts w:ascii="Times New Roman" w:hAnsi="Times New Roman" w:eastAsia="宋体"/>
                <w:b w:val="0"/>
                <w:bCs w:val="0"/>
                <w:sz w:val="21"/>
                <w:szCs w:val="21"/>
              </w:rPr>
              <w:t xml:space="preserve">④ </w:t>
            </w:r>
            <w:r>
              <w:rPr>
                <w:rFonts w:hint="eastAsia" w:ascii="Times New Roman" w:hAnsi="Times New Roman" w:eastAsia="宋体"/>
                <w:b w:val="0"/>
                <w:bCs w:val="0"/>
                <w:sz w:val="21"/>
                <w:szCs w:val="21"/>
                <w:lang w:val="en-US" w:eastAsia="zh-CN"/>
              </w:rPr>
              <w:t>破碎、</w:t>
            </w:r>
            <w:r>
              <w:rPr>
                <w:rFonts w:hint="default" w:ascii="Times New Roman" w:hAnsi="Times New Roman" w:eastAsia="宋体"/>
                <w:b w:val="0"/>
                <w:bCs w:val="0"/>
                <w:sz w:val="21"/>
                <w:szCs w:val="21"/>
                <w:lang w:val="en-US" w:eastAsia="zh-CN"/>
              </w:rPr>
              <w:t>混料</w:t>
            </w:r>
            <w:r>
              <w:rPr>
                <w:rFonts w:hint="eastAsia" w:ascii="Times New Roman" w:hAnsi="Times New Roman" w:eastAsia="宋体"/>
                <w:b w:val="0"/>
                <w:bCs w:val="0"/>
                <w:sz w:val="21"/>
                <w:szCs w:val="21"/>
                <w:lang w:val="en-US" w:eastAsia="zh-CN"/>
              </w:rPr>
              <w:t>废气“集气罩+布袋除尘+15m排气筒（DA001）”排放，挤出废气经“集气罩+活性炭吸附脱附+催化燃烧器+15m排气筒（DA002）”排放，这些设施引风机进风口设置消声器，用于降低噪声。</w:t>
            </w:r>
          </w:p>
          <w:p w14:paraId="114EF2E1">
            <w:pPr>
              <w:spacing w:line="360" w:lineRule="auto"/>
              <w:ind w:firstLine="420" w:firstLineChars="200"/>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 xml:space="preserve">⑤ </w:t>
            </w:r>
            <w:r>
              <w:rPr>
                <w:rFonts w:ascii="Times New Roman" w:hAnsi="Times New Roman" w:eastAsia="宋体"/>
                <w:b w:val="0"/>
                <w:bCs w:val="0"/>
                <w:sz w:val="21"/>
                <w:szCs w:val="21"/>
              </w:rPr>
              <w:t>项目设备产生的噪声对操作人员的影响较大，应对操作人员采取佩戴耳塞、控制噪声接触时间等必要的噪声防护措施，降低设备噪声对操作人员的影响程度。</w:t>
            </w:r>
          </w:p>
          <w:p w14:paraId="39BC9B2B">
            <w:pPr>
              <w:topLinePunct/>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通过采取上述措施后，本项目产生的噪声对周围环境的影响在可接受范围内，即对周边环境影响和工作人员较小。</w:t>
            </w:r>
          </w:p>
          <w:p w14:paraId="2B73FE3D">
            <w:pPr>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w:t>
            </w:r>
            <w:r>
              <w:rPr>
                <w:rFonts w:hint="eastAsia" w:ascii="Times New Roman" w:hAnsi="Times New Roman" w:eastAsia="宋体"/>
                <w:b w:val="0"/>
                <w:bCs w:val="0"/>
                <w:sz w:val="21"/>
                <w:szCs w:val="21"/>
              </w:rPr>
              <w:t>11</w:t>
            </w:r>
            <w:r>
              <w:rPr>
                <w:rFonts w:ascii="Times New Roman" w:hAnsi="Times New Roman" w:eastAsia="宋体"/>
                <w:b w:val="0"/>
                <w:bCs w:val="0"/>
                <w:sz w:val="21"/>
                <w:szCs w:val="21"/>
              </w:rPr>
              <w:t>）</w:t>
            </w:r>
            <w:r>
              <w:rPr>
                <w:rFonts w:hint="eastAsia" w:ascii="Times New Roman" w:hAnsi="Times New Roman" w:eastAsia="宋体"/>
                <w:b w:val="0"/>
                <w:bCs w:val="0"/>
                <w:sz w:val="21"/>
                <w:szCs w:val="21"/>
              </w:rPr>
              <w:t>噪声</w:t>
            </w:r>
            <w:r>
              <w:rPr>
                <w:rFonts w:ascii="Times New Roman" w:hAnsi="Times New Roman" w:eastAsia="宋体"/>
                <w:b w:val="0"/>
                <w:bCs w:val="0"/>
                <w:sz w:val="21"/>
                <w:szCs w:val="21"/>
              </w:rPr>
              <w:t>监测计划</w:t>
            </w:r>
          </w:p>
          <w:p w14:paraId="26B0DAEB">
            <w:pPr>
              <w:spacing w:line="360" w:lineRule="auto"/>
              <w:ind w:firstLine="420" w:firstLineChars="200"/>
              <w:rPr>
                <w:rFonts w:ascii="Times New Roman" w:hAnsi="Times New Roman" w:eastAsia="宋体"/>
                <w:b w:val="0"/>
                <w:bCs w:val="0"/>
                <w:sz w:val="21"/>
                <w:szCs w:val="21"/>
              </w:rPr>
            </w:pPr>
            <w:r>
              <w:rPr>
                <w:rFonts w:ascii="Times New Roman" w:hAnsi="Times New Roman" w:eastAsia="宋体"/>
                <w:b w:val="0"/>
                <w:bCs w:val="0"/>
                <w:sz w:val="21"/>
                <w:szCs w:val="21"/>
              </w:rPr>
              <w:t>根据《排污单位自行监测技术指南 总则》</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HJ 819-2017</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，本项目噪声监测要求见表4-</w:t>
            </w:r>
            <w:r>
              <w:rPr>
                <w:rFonts w:hint="eastAsia" w:ascii="Times New Roman" w:hAnsi="Times New Roman" w:eastAsia="宋体"/>
                <w:b w:val="0"/>
                <w:bCs w:val="0"/>
                <w:sz w:val="21"/>
                <w:szCs w:val="21"/>
                <w:lang w:val="en-US" w:eastAsia="zh-CN"/>
              </w:rPr>
              <w:t>10</w:t>
            </w:r>
            <w:r>
              <w:rPr>
                <w:rFonts w:ascii="Times New Roman" w:hAnsi="Times New Roman" w:eastAsia="宋体"/>
                <w:b w:val="0"/>
                <w:bCs w:val="0"/>
                <w:sz w:val="21"/>
                <w:szCs w:val="21"/>
              </w:rPr>
              <w:t>。</w:t>
            </w:r>
          </w:p>
          <w:p w14:paraId="5A67B280">
            <w:pPr>
              <w:keepNext w:val="0"/>
              <w:keepLines/>
              <w:pageBreakBefore w:val="0"/>
              <w:widowControl w:val="0"/>
              <w:numPr>
                <w:ilvl w:val="2"/>
                <w:numId w:val="0"/>
              </w:numPr>
              <w:tabs>
                <w:tab w:val="left" w:pos="851"/>
              </w:tabs>
              <w:kinsoku/>
              <w:wordWrap/>
              <w:overflowPunct/>
              <w:topLinePunct w:val="0"/>
              <w:autoSpaceDE/>
              <w:autoSpaceDN/>
              <w:bidi w:val="0"/>
              <w:adjustRightInd/>
              <w:snapToGrid/>
              <w:spacing w:line="240" w:lineRule="auto"/>
              <w:jc w:val="center"/>
              <w:textAlignment w:val="bottom"/>
              <w:rPr>
                <w:rFonts w:hint="eastAsia" w:ascii="黑体" w:hAnsi="黑体" w:eastAsia="黑体" w:cs="黑体"/>
                <w:b w:val="0"/>
                <w:bCs w:val="0"/>
                <w:sz w:val="21"/>
                <w:szCs w:val="21"/>
              </w:rPr>
            </w:pPr>
            <w:r>
              <w:rPr>
                <w:rFonts w:hint="eastAsia" w:ascii="黑体" w:hAnsi="黑体" w:eastAsia="黑体" w:cs="黑体"/>
                <w:b w:val="0"/>
                <w:bCs w:val="0"/>
                <w:sz w:val="21"/>
                <w:szCs w:val="21"/>
              </w:rPr>
              <w:t>表4-</w:t>
            </w:r>
            <w:r>
              <w:rPr>
                <w:rFonts w:hint="eastAsia" w:ascii="黑体" w:hAnsi="黑体" w:eastAsia="黑体" w:cs="黑体"/>
                <w:b w:val="0"/>
                <w:bCs w:val="0"/>
                <w:sz w:val="21"/>
                <w:szCs w:val="21"/>
                <w:lang w:val="en-US" w:eastAsia="zh-CN"/>
              </w:rPr>
              <w:t>10</w:t>
            </w:r>
            <w:r>
              <w:rPr>
                <w:rFonts w:hint="eastAsia" w:ascii="黑体" w:hAnsi="黑体" w:eastAsia="黑体" w:cs="黑体"/>
                <w:b w:val="0"/>
                <w:bCs w:val="0"/>
                <w:sz w:val="21"/>
                <w:szCs w:val="21"/>
              </w:rPr>
              <w:t xml:space="preserve">   噪声监测要求一览表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4"/>
              <w:gridCol w:w="2402"/>
              <w:gridCol w:w="3875"/>
            </w:tblGrid>
            <w:tr w14:paraId="4C1FD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pct"/>
                  <w:tcBorders>
                    <w:tl2br w:val="nil"/>
                    <w:tr2bl w:val="nil"/>
                  </w:tcBorders>
                  <w:noWrap w:val="0"/>
                  <w:vAlign w:val="center"/>
                </w:tcPr>
                <w:p w14:paraId="187C78CA">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监测对象</w:t>
                  </w:r>
                </w:p>
              </w:tc>
              <w:tc>
                <w:tcPr>
                  <w:tcW w:w="1409" w:type="pct"/>
                  <w:tcBorders>
                    <w:tl2br w:val="nil"/>
                    <w:tr2bl w:val="nil"/>
                  </w:tcBorders>
                  <w:noWrap w:val="0"/>
                  <w:vAlign w:val="center"/>
                </w:tcPr>
                <w:p w14:paraId="6C7A5E20">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监测因子</w:t>
                  </w:r>
                </w:p>
              </w:tc>
              <w:tc>
                <w:tcPr>
                  <w:tcW w:w="2273" w:type="pct"/>
                  <w:tcBorders>
                    <w:tl2br w:val="nil"/>
                    <w:tr2bl w:val="nil"/>
                  </w:tcBorders>
                  <w:noWrap w:val="0"/>
                  <w:vAlign w:val="center"/>
                </w:tcPr>
                <w:p w14:paraId="5B304C5E">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监测频次</w:t>
                  </w:r>
                </w:p>
              </w:tc>
            </w:tr>
            <w:tr w14:paraId="7E25A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pct"/>
                  <w:tcBorders>
                    <w:tl2br w:val="nil"/>
                    <w:tr2bl w:val="nil"/>
                  </w:tcBorders>
                  <w:noWrap w:val="0"/>
                  <w:vAlign w:val="center"/>
                </w:tcPr>
                <w:p w14:paraId="0F6A8846">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厂区边界四周</w:t>
                  </w:r>
                </w:p>
              </w:tc>
              <w:tc>
                <w:tcPr>
                  <w:tcW w:w="1409" w:type="pct"/>
                  <w:tcBorders>
                    <w:tl2br w:val="nil"/>
                    <w:tr2bl w:val="nil"/>
                  </w:tcBorders>
                  <w:noWrap w:val="0"/>
                  <w:vAlign w:val="center"/>
                </w:tcPr>
                <w:p w14:paraId="2B7EE27B">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噪声</w:t>
                  </w:r>
                </w:p>
              </w:tc>
              <w:tc>
                <w:tcPr>
                  <w:tcW w:w="2273" w:type="pct"/>
                  <w:tcBorders>
                    <w:tl2br w:val="nil"/>
                    <w:tr2bl w:val="nil"/>
                  </w:tcBorders>
                  <w:noWrap w:val="0"/>
                  <w:vAlign w:val="center"/>
                </w:tcPr>
                <w:p w14:paraId="6A814CE7">
                  <w:pPr>
                    <w:keepNext w:val="0"/>
                    <w:keepLines w:val="0"/>
                    <w:pageBreakBefore w:val="0"/>
                    <w:widowControl w:val="0"/>
                    <w:kinsoku/>
                    <w:wordWrap/>
                    <w:overflowPunct/>
                    <w:autoSpaceDE/>
                    <w:autoSpaceDN/>
                    <w:bidi w:val="0"/>
                    <w:adjustRightInd/>
                    <w:snapToGrid/>
                    <w:spacing w:line="240" w:lineRule="auto"/>
                    <w:ind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1次/</w:t>
                  </w:r>
                  <w:r>
                    <w:rPr>
                      <w:rFonts w:hint="eastAsia" w:ascii="Times New Roman" w:hAnsi="Times New Roman" w:eastAsia="宋体"/>
                      <w:b w:val="0"/>
                      <w:bCs w:val="0"/>
                      <w:sz w:val="21"/>
                      <w:szCs w:val="21"/>
                    </w:rPr>
                    <w:t>季度</w:t>
                  </w:r>
                </w:p>
              </w:tc>
            </w:tr>
          </w:tbl>
          <w:p w14:paraId="33C6CF1A">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rPr>
                <w:rFonts w:ascii="Times New Roman" w:hAnsi="Times New Roman" w:eastAsia="宋体"/>
                <w:b/>
                <w:bCs/>
                <w:sz w:val="21"/>
                <w:szCs w:val="21"/>
              </w:rPr>
            </w:pPr>
            <w:r>
              <w:rPr>
                <w:rFonts w:hint="eastAsia" w:ascii="Times New Roman" w:hAnsi="Times New Roman" w:eastAsia="宋体"/>
                <w:b/>
                <w:bCs/>
                <w:sz w:val="21"/>
                <w:szCs w:val="21"/>
                <w:lang w:val="en-US" w:eastAsia="zh-CN"/>
              </w:rPr>
              <w:t>四、</w:t>
            </w:r>
            <w:r>
              <w:rPr>
                <w:rFonts w:ascii="Times New Roman" w:hAnsi="Times New Roman" w:eastAsia="宋体"/>
                <w:b/>
                <w:bCs/>
                <w:sz w:val="21"/>
                <w:szCs w:val="21"/>
              </w:rPr>
              <w:t>固废</w:t>
            </w:r>
          </w:p>
          <w:p w14:paraId="173E9F7A">
            <w:pPr>
              <w:pageBreakBefore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4.1固废产生情况</w:t>
            </w:r>
          </w:p>
          <w:p w14:paraId="77B493C3">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本项目运营期固废主要有生活垃圾、一般工业固废和危险废物。</w:t>
            </w:r>
          </w:p>
          <w:p w14:paraId="036C48F0">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（1）生活垃圾</w:t>
            </w:r>
          </w:p>
          <w:p w14:paraId="2EA3FFBD">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本项目拟聘用员工</w:t>
            </w:r>
            <w:r>
              <w:rPr>
                <w:rFonts w:hint="eastAsia" w:ascii="Times New Roman" w:hAnsi="Times New Roman" w:eastAsia="宋体"/>
                <w:b w:val="0"/>
                <w:bCs w:val="0"/>
                <w:sz w:val="21"/>
                <w:szCs w:val="21"/>
                <w:lang w:val="en-US" w:eastAsia="zh-CN"/>
              </w:rPr>
              <w:t>1</w:t>
            </w:r>
            <w:r>
              <w:rPr>
                <w:rFonts w:hint="eastAsia" w:ascii="Times New Roman" w:hAnsi="Times New Roman" w:eastAsia="宋体"/>
                <w:b w:val="0"/>
                <w:bCs w:val="0"/>
                <w:sz w:val="21"/>
                <w:szCs w:val="21"/>
              </w:rPr>
              <w:t>0人，按</w:t>
            </w:r>
            <w:r>
              <w:rPr>
                <w:rFonts w:ascii="Times New Roman" w:hAnsi="Times New Roman" w:eastAsia="宋体"/>
                <w:b w:val="0"/>
                <w:bCs w:val="0"/>
                <w:sz w:val="21"/>
                <w:szCs w:val="21"/>
              </w:rPr>
              <w:t>0.5kg/d</w:t>
            </w:r>
            <w:r>
              <w:rPr>
                <w:rFonts w:hint="eastAsia" w:ascii="Times New Roman" w:hAnsi="Times New Roman" w:eastAsia="宋体"/>
                <w:b w:val="0"/>
                <w:bCs w:val="0"/>
                <w:sz w:val="21"/>
                <w:szCs w:val="21"/>
              </w:rPr>
              <w:t>每人计算，产生生活垃圾量约为</w:t>
            </w:r>
            <w:r>
              <w:rPr>
                <w:rFonts w:hint="eastAsia" w:ascii="Times New Roman" w:hAnsi="Times New Roman" w:eastAsia="宋体"/>
                <w:b w:val="0"/>
                <w:bCs w:val="0"/>
                <w:sz w:val="21"/>
                <w:szCs w:val="21"/>
                <w:lang w:val="en-US" w:eastAsia="zh-CN"/>
              </w:rPr>
              <w:t>1.8</w:t>
            </w:r>
            <w:r>
              <w:rPr>
                <w:rFonts w:ascii="Times New Roman" w:hAnsi="Times New Roman" w:eastAsia="宋体"/>
                <w:b w:val="0"/>
                <w:bCs w:val="0"/>
                <w:sz w:val="21"/>
                <w:szCs w:val="21"/>
              </w:rPr>
              <w:t>t/a</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30</w:t>
            </w:r>
            <w:r>
              <w:rPr>
                <w:rFonts w:hint="eastAsia" w:ascii="Times New Roman" w:hAnsi="Times New Roman" w:eastAsia="宋体"/>
                <w:b w:val="0"/>
                <w:bCs w:val="0"/>
                <w:sz w:val="21"/>
                <w:szCs w:val="21"/>
              </w:rPr>
              <w:t>0天）。主要成分为纸张、塑料包装袋等，经垃圾桶收集后由当地环卫部门收集处理。</w:t>
            </w:r>
          </w:p>
          <w:p w14:paraId="727D5922">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（2）一般工业固废</w:t>
            </w:r>
          </w:p>
          <w:p w14:paraId="2F577424">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①废包装</w:t>
            </w:r>
          </w:p>
          <w:p w14:paraId="286C66D6">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原料包装产生的废包装物，主要为废塑料袋，产生量约为0.01t/a，废包装物</w:t>
            </w:r>
            <w:r>
              <w:rPr>
                <w:rFonts w:hint="eastAsia" w:ascii="Times New Roman" w:hAnsi="Times New Roman" w:eastAsia="宋体"/>
                <w:b w:val="0"/>
                <w:bCs w:val="0"/>
                <w:sz w:val="21"/>
                <w:szCs w:val="21"/>
                <w:lang w:val="en-US" w:eastAsia="zh-CN"/>
              </w:rPr>
              <w:t>交由废物回收公司处理</w:t>
            </w:r>
            <w:r>
              <w:rPr>
                <w:rFonts w:hint="eastAsia" w:ascii="Times New Roman" w:hAnsi="Times New Roman" w:eastAsia="宋体"/>
                <w:b w:val="0"/>
                <w:bCs w:val="0"/>
                <w:sz w:val="21"/>
                <w:szCs w:val="21"/>
              </w:rPr>
              <w:t>。</w:t>
            </w:r>
          </w:p>
          <w:p w14:paraId="7E5BCA89">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②废布袋</w:t>
            </w:r>
          </w:p>
          <w:p w14:paraId="4B3114F8">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本项目布袋除尘器的布袋使用寿命为1年，本项目按一年2个布袋计算，废布袋</w:t>
            </w:r>
            <w:r>
              <w:rPr>
                <w:rFonts w:hint="eastAsia" w:ascii="Times New Roman" w:hAnsi="Times New Roman" w:eastAsia="宋体"/>
                <w:b w:val="0"/>
                <w:bCs w:val="0"/>
                <w:sz w:val="21"/>
                <w:szCs w:val="21"/>
              </w:rPr>
              <w:t>收集后</w:t>
            </w:r>
            <w:r>
              <w:rPr>
                <w:rFonts w:hint="eastAsia" w:ascii="Times New Roman" w:hAnsi="Times New Roman" w:eastAsia="宋体"/>
                <w:b w:val="0"/>
                <w:bCs w:val="0"/>
                <w:sz w:val="21"/>
                <w:szCs w:val="21"/>
                <w:lang w:val="en-US" w:eastAsia="zh-CN"/>
              </w:rPr>
              <w:t>交由废物回收公司处理</w:t>
            </w:r>
            <w:r>
              <w:rPr>
                <w:rFonts w:hint="eastAsia" w:ascii="Times New Roman" w:hAnsi="Times New Roman" w:eastAsia="宋体"/>
                <w:b w:val="0"/>
                <w:bCs w:val="0"/>
                <w:sz w:val="21"/>
                <w:szCs w:val="21"/>
              </w:rPr>
              <w:t>。</w:t>
            </w:r>
          </w:p>
          <w:p w14:paraId="5B6C4FF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③粉尘</w:t>
            </w:r>
          </w:p>
          <w:p w14:paraId="3499246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本项目布袋除尘器收集的粉尘为破碎与混料过程的粉尘，是可以利用的塑料粉尘，可以回用于生产线。</w:t>
            </w:r>
          </w:p>
          <w:p w14:paraId="5747A81E">
            <w:pPr>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（3）危险废物</w:t>
            </w:r>
          </w:p>
          <w:p w14:paraId="3CCB0A53">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eastAsia="zh-CN"/>
              </w:rPr>
            </w:pPr>
            <w:r>
              <w:rPr>
                <w:rFonts w:hint="eastAsia" w:ascii="Times New Roman" w:hAnsi="Times New Roman" w:eastAsia="宋体"/>
                <w:b w:val="0"/>
                <w:bCs w:val="0"/>
                <w:sz w:val="21"/>
                <w:szCs w:val="21"/>
              </w:rPr>
              <w:t>①废矿物油</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本项目生产过程中使用的机械设备需定期更换润滑油以保证设备正常运转。根据同类项目类比资料，预计每年需更换润滑油及废弃的油桶约0.1t。废弃润滑油及油桶</w:t>
            </w:r>
            <w:r>
              <w:rPr>
                <w:rFonts w:hint="default" w:ascii="Times New Roman" w:hAnsi="Times New Roman" w:eastAsia="宋体"/>
                <w:b w:val="0"/>
                <w:bCs w:val="0"/>
                <w:sz w:val="21"/>
                <w:szCs w:val="21"/>
              </w:rPr>
              <w:t>属于《国家危险废物名录》（202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rPr>
              <w:t xml:space="preserve"> 版）中的</w:t>
            </w:r>
            <w:r>
              <w:rPr>
                <w:rFonts w:hint="eastAsia" w:ascii="Times New Roman" w:hAnsi="Times New Roman" w:eastAsia="宋体"/>
                <w:b w:val="0"/>
                <w:bCs w:val="0"/>
                <w:sz w:val="21"/>
                <w:szCs w:val="21"/>
              </w:rPr>
              <w:t>HW08类危险废物，废物代码为900-249-08。废矿物油采用桶装收集储存，暂存于危废贮存点，定期交由有资质的单位处置。</w:t>
            </w:r>
          </w:p>
          <w:p w14:paraId="22006EDC">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②</w:t>
            </w:r>
            <w:r>
              <w:rPr>
                <w:rFonts w:hint="eastAsia" w:ascii="Times New Roman" w:hAnsi="Times New Roman" w:eastAsia="宋体"/>
                <w:b w:val="0"/>
                <w:bCs w:val="0"/>
                <w:sz w:val="21"/>
                <w:szCs w:val="21"/>
              </w:rPr>
              <w:t>废催化剂</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本项目催化燃烧处理装置处理有机废气过程产生的废催化剂，</w:t>
            </w:r>
            <w:r>
              <w:rPr>
                <w:rFonts w:hint="eastAsia" w:ascii="Times New Roman" w:hAnsi="Times New Roman" w:eastAsia="宋体"/>
                <w:b w:val="0"/>
                <w:bCs w:val="0"/>
                <w:sz w:val="21"/>
                <w:szCs w:val="21"/>
                <w:lang w:val="en-US" w:eastAsia="zh-CN"/>
              </w:rPr>
              <w:t>根据厂家要求</w:t>
            </w:r>
            <w:r>
              <w:rPr>
                <w:rFonts w:hint="eastAsia" w:ascii="Times New Roman" w:hAnsi="Times New Roman" w:eastAsia="宋体"/>
                <w:b w:val="0"/>
                <w:bCs w:val="0"/>
                <w:sz w:val="21"/>
                <w:szCs w:val="21"/>
              </w:rPr>
              <w:t>催化剂更换频次约为</w:t>
            </w:r>
            <w:r>
              <w:rPr>
                <w:rFonts w:hint="eastAsia" w:ascii="Times New Roman" w:hAnsi="Times New Roman" w:eastAsia="宋体"/>
                <w:b w:val="0"/>
                <w:bCs w:val="0"/>
                <w:sz w:val="21"/>
                <w:szCs w:val="21"/>
                <w:lang w:val="en-US" w:eastAsia="zh-CN"/>
              </w:rPr>
              <w:t>6个月</w:t>
            </w:r>
            <w:r>
              <w:rPr>
                <w:rFonts w:hint="eastAsia" w:ascii="Times New Roman" w:hAnsi="Times New Roman" w:eastAsia="宋体"/>
                <w:b w:val="0"/>
                <w:bCs w:val="0"/>
                <w:sz w:val="21"/>
                <w:szCs w:val="21"/>
              </w:rPr>
              <w:t>1次，产生量约为0.</w:t>
            </w:r>
            <w:r>
              <w:rPr>
                <w:rFonts w:hint="eastAsia" w:ascii="Times New Roman" w:hAnsi="Times New Roman" w:eastAsia="宋体"/>
                <w:b w:val="0"/>
                <w:bCs w:val="0"/>
                <w:sz w:val="21"/>
                <w:szCs w:val="21"/>
                <w:lang w:val="en-US" w:eastAsia="zh-CN"/>
              </w:rPr>
              <w:t>09</w:t>
            </w:r>
            <w:r>
              <w:rPr>
                <w:rFonts w:hint="eastAsia" w:ascii="Times New Roman" w:hAnsi="Times New Roman" w:eastAsia="宋体"/>
                <w:b w:val="0"/>
                <w:bCs w:val="0"/>
                <w:sz w:val="21"/>
                <w:szCs w:val="21"/>
              </w:rPr>
              <w:t>t/次</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一年产生量为0.18t/a</w:t>
            </w:r>
            <w:r>
              <w:rPr>
                <w:rFonts w:hint="eastAsia" w:ascii="Times New Roman" w:hAnsi="Times New Roman" w:eastAsia="宋体"/>
                <w:b w:val="0"/>
                <w:bCs w:val="0"/>
                <w:sz w:val="21"/>
                <w:szCs w:val="21"/>
              </w:rPr>
              <w:t>。该废催化剂属于</w:t>
            </w:r>
            <w:r>
              <w:rPr>
                <w:rFonts w:hint="default" w:ascii="Times New Roman" w:hAnsi="Times New Roman" w:eastAsia="宋体"/>
                <w:b w:val="0"/>
                <w:bCs w:val="0"/>
                <w:sz w:val="21"/>
                <w:szCs w:val="21"/>
              </w:rPr>
              <w:t>《国家危险废物名录》（202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rPr>
              <w:t xml:space="preserve"> 版）中的</w:t>
            </w:r>
            <w:r>
              <w:rPr>
                <w:rFonts w:hint="eastAsia" w:ascii="Times New Roman" w:hAnsi="Times New Roman" w:eastAsia="宋体"/>
                <w:b w:val="0"/>
                <w:bCs w:val="0"/>
                <w:sz w:val="21"/>
                <w:szCs w:val="21"/>
              </w:rPr>
              <w:t>危险废物，代码为HW46-900-037-46，暂存危险废物暂存间，交由有资质单位处置。</w:t>
            </w:r>
          </w:p>
          <w:p w14:paraId="1CB93A73">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③废活性炭：</w:t>
            </w:r>
            <w:r>
              <w:rPr>
                <w:rFonts w:hint="eastAsia" w:ascii="Times New Roman" w:hAnsi="Times New Roman" w:eastAsia="宋体"/>
                <w:b w:val="0"/>
                <w:bCs w:val="0"/>
                <w:sz w:val="21"/>
                <w:szCs w:val="21"/>
              </w:rPr>
              <w:t>本项目催化燃烧处理装置处理有机废气过程产生的废</w:t>
            </w:r>
            <w:r>
              <w:rPr>
                <w:rFonts w:hint="eastAsia" w:ascii="Times New Roman" w:hAnsi="Times New Roman" w:eastAsia="宋体"/>
                <w:b w:val="0"/>
                <w:bCs w:val="0"/>
                <w:sz w:val="21"/>
                <w:szCs w:val="21"/>
                <w:lang w:val="en-US" w:eastAsia="zh-CN"/>
              </w:rPr>
              <w:t>活性炭</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活性炭吸附装置容量为0.825m3，活性炭密度为0.4g/cm3，活性炭</w:t>
            </w:r>
            <w:r>
              <w:rPr>
                <w:rFonts w:hint="eastAsia" w:ascii="Times New Roman" w:hAnsi="Times New Roman" w:eastAsia="宋体"/>
                <w:b w:val="0"/>
                <w:bCs w:val="0"/>
                <w:sz w:val="21"/>
                <w:szCs w:val="21"/>
              </w:rPr>
              <w:t>更换频次约为</w:t>
            </w:r>
            <w:r>
              <w:rPr>
                <w:rFonts w:hint="eastAsia" w:ascii="Times New Roman" w:hAnsi="Times New Roman" w:eastAsia="宋体"/>
                <w:b w:val="0"/>
                <w:bCs w:val="0"/>
                <w:sz w:val="21"/>
                <w:szCs w:val="21"/>
                <w:lang w:val="en-US" w:eastAsia="zh-CN"/>
              </w:rPr>
              <w:t>3个月1</w:t>
            </w:r>
            <w:r>
              <w:rPr>
                <w:rFonts w:hint="eastAsia" w:ascii="Times New Roman" w:hAnsi="Times New Roman" w:eastAsia="宋体"/>
                <w:b w:val="0"/>
                <w:bCs w:val="0"/>
                <w:sz w:val="21"/>
                <w:szCs w:val="21"/>
              </w:rPr>
              <w:t>次，</w:t>
            </w:r>
            <w:r>
              <w:rPr>
                <w:rFonts w:hint="eastAsia" w:ascii="Times New Roman" w:hAnsi="Times New Roman" w:eastAsia="宋体"/>
                <w:b w:val="0"/>
                <w:bCs w:val="0"/>
                <w:sz w:val="21"/>
                <w:szCs w:val="21"/>
                <w:lang w:val="en-US" w:eastAsia="zh-CN"/>
              </w:rPr>
              <w:t>825000/0.4=330000g，则每次</w:t>
            </w:r>
            <w:r>
              <w:rPr>
                <w:rFonts w:hint="eastAsia" w:ascii="Times New Roman" w:hAnsi="Times New Roman" w:eastAsia="宋体"/>
                <w:b w:val="0"/>
                <w:bCs w:val="0"/>
                <w:sz w:val="21"/>
                <w:szCs w:val="21"/>
              </w:rPr>
              <w:t>产生量约为</w:t>
            </w:r>
            <w:r>
              <w:rPr>
                <w:rFonts w:hint="eastAsia" w:ascii="Times New Roman" w:hAnsi="Times New Roman" w:eastAsia="宋体"/>
                <w:b w:val="0"/>
                <w:bCs w:val="0"/>
                <w:sz w:val="21"/>
                <w:szCs w:val="21"/>
                <w:lang w:val="en-US" w:eastAsia="zh-CN"/>
              </w:rPr>
              <w:t>0.33</w:t>
            </w:r>
            <w:r>
              <w:rPr>
                <w:rFonts w:hint="eastAsia" w:ascii="Times New Roman" w:hAnsi="Times New Roman" w:eastAsia="宋体"/>
                <w:b w:val="0"/>
                <w:bCs w:val="0"/>
                <w:sz w:val="21"/>
                <w:szCs w:val="21"/>
              </w:rPr>
              <w:t>t/次</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lang w:val="en-US" w:eastAsia="zh-CN"/>
              </w:rPr>
              <w:t>一年产生量为1t/a</w:t>
            </w:r>
            <w:r>
              <w:rPr>
                <w:rFonts w:hint="eastAsia" w:ascii="Times New Roman" w:hAnsi="Times New Roman" w:eastAsia="宋体"/>
                <w:b w:val="0"/>
                <w:bCs w:val="0"/>
                <w:sz w:val="21"/>
                <w:szCs w:val="21"/>
              </w:rPr>
              <w:t>。废</w:t>
            </w:r>
            <w:r>
              <w:rPr>
                <w:rFonts w:hint="eastAsia" w:ascii="Times New Roman" w:hAnsi="Times New Roman" w:eastAsia="宋体"/>
                <w:b w:val="0"/>
                <w:bCs w:val="0"/>
                <w:sz w:val="21"/>
                <w:szCs w:val="21"/>
                <w:lang w:val="en-US" w:eastAsia="zh-CN"/>
              </w:rPr>
              <w:t>活性炭</w:t>
            </w:r>
            <w:r>
              <w:rPr>
                <w:rFonts w:hint="eastAsia" w:ascii="Times New Roman" w:hAnsi="Times New Roman" w:eastAsia="宋体"/>
                <w:b w:val="0"/>
                <w:bCs w:val="0"/>
                <w:sz w:val="21"/>
                <w:szCs w:val="21"/>
              </w:rPr>
              <w:t>属于</w:t>
            </w:r>
            <w:r>
              <w:rPr>
                <w:rFonts w:hint="default" w:ascii="Times New Roman" w:hAnsi="Times New Roman" w:eastAsia="宋体"/>
                <w:b w:val="0"/>
                <w:bCs w:val="0"/>
                <w:sz w:val="21"/>
                <w:szCs w:val="21"/>
              </w:rPr>
              <w:t>《国家危险废物名录》（202</w:t>
            </w:r>
            <w:r>
              <w:rPr>
                <w:rFonts w:hint="eastAsia" w:ascii="Times New Roman" w:hAnsi="Times New Roman" w:eastAsia="宋体"/>
                <w:b w:val="0"/>
                <w:bCs w:val="0"/>
                <w:sz w:val="21"/>
                <w:szCs w:val="21"/>
                <w:lang w:val="en-US" w:eastAsia="zh-CN"/>
              </w:rPr>
              <w:t>5</w:t>
            </w:r>
            <w:r>
              <w:rPr>
                <w:rFonts w:hint="default" w:ascii="Times New Roman" w:hAnsi="Times New Roman" w:eastAsia="宋体"/>
                <w:b w:val="0"/>
                <w:bCs w:val="0"/>
                <w:sz w:val="21"/>
                <w:szCs w:val="21"/>
              </w:rPr>
              <w:t xml:space="preserve"> 版）中的</w:t>
            </w:r>
            <w:r>
              <w:rPr>
                <w:rFonts w:hint="eastAsia" w:ascii="Times New Roman" w:hAnsi="Times New Roman" w:eastAsia="宋体"/>
                <w:b w:val="0"/>
                <w:bCs w:val="0"/>
                <w:sz w:val="21"/>
                <w:szCs w:val="21"/>
              </w:rPr>
              <w:t>危险废物，代码为HW46-900-03</w:t>
            </w:r>
            <w:r>
              <w:rPr>
                <w:rFonts w:hint="eastAsia" w:ascii="Times New Roman" w:hAnsi="Times New Roman" w:eastAsia="宋体"/>
                <w:b w:val="0"/>
                <w:bCs w:val="0"/>
                <w:sz w:val="21"/>
                <w:szCs w:val="21"/>
                <w:lang w:val="en-US" w:eastAsia="zh-CN"/>
              </w:rPr>
              <w:t>9</w:t>
            </w:r>
            <w:r>
              <w:rPr>
                <w:rFonts w:hint="eastAsia" w:ascii="Times New Roman" w:hAnsi="Times New Roman" w:eastAsia="宋体"/>
                <w:b w:val="0"/>
                <w:bCs w:val="0"/>
                <w:sz w:val="21"/>
                <w:szCs w:val="21"/>
              </w:rPr>
              <w:t>-4</w:t>
            </w:r>
            <w:r>
              <w:rPr>
                <w:rFonts w:hint="eastAsia" w:ascii="Times New Roman" w:hAnsi="Times New Roman" w:eastAsia="宋体"/>
                <w:b w:val="0"/>
                <w:bCs w:val="0"/>
                <w:sz w:val="21"/>
                <w:szCs w:val="21"/>
                <w:lang w:val="en-US" w:eastAsia="zh-CN"/>
              </w:rPr>
              <w:t>9</w:t>
            </w:r>
            <w:r>
              <w:rPr>
                <w:rFonts w:hint="eastAsia" w:ascii="Times New Roman" w:hAnsi="Times New Roman" w:eastAsia="宋体"/>
                <w:b w:val="0"/>
                <w:bCs w:val="0"/>
                <w:sz w:val="21"/>
                <w:szCs w:val="21"/>
              </w:rPr>
              <w:t>，暂存危险废物暂存间，交由有资质单位处置。</w:t>
            </w:r>
          </w:p>
          <w:p w14:paraId="15BB85C4">
            <w:pPr>
              <w:pageBreakBefore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4.2环境管理要求</w:t>
            </w:r>
          </w:p>
          <w:p w14:paraId="73DECF65">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（1）一般固废暂存及处置要求</w:t>
            </w:r>
          </w:p>
          <w:p w14:paraId="0063996B">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① 一般固体废物的处理优先考虑资源的再生利用，减少对环境的污染；</w:t>
            </w:r>
          </w:p>
          <w:p w14:paraId="2211D918">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② 一般固体废物与生活垃圾分别处置；</w:t>
            </w:r>
          </w:p>
          <w:p w14:paraId="3CA90375">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③ 妥善处理产生的固体废物，不造成二次污染。</w:t>
            </w:r>
          </w:p>
          <w:p w14:paraId="394170BB">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④ 厂内一般固体废物</w:t>
            </w:r>
            <w:r>
              <w:rPr>
                <w:rFonts w:hint="eastAsia" w:ascii="Times New Roman" w:hAnsi="Times New Roman" w:eastAsia="宋体"/>
                <w:b w:val="0"/>
                <w:bCs w:val="0"/>
                <w:sz w:val="21"/>
                <w:szCs w:val="21"/>
                <w:lang w:val="en-US" w:eastAsia="zh-CN"/>
              </w:rPr>
              <w:t>需满足</w:t>
            </w:r>
            <w:r>
              <w:rPr>
                <w:rFonts w:hint="default" w:ascii="Times New Roman" w:hAnsi="Times New Roman" w:eastAsia="宋体"/>
                <w:b w:val="0"/>
                <w:bCs w:val="0"/>
                <w:sz w:val="21"/>
                <w:szCs w:val="21"/>
                <w:lang w:val="en-US" w:eastAsia="zh-CN"/>
              </w:rPr>
              <w:t>《一般工业固体废物贮存和填埋污染控制标准》（GB18599-2020）</w:t>
            </w:r>
            <w:r>
              <w:rPr>
                <w:rFonts w:hint="eastAsia" w:ascii="Times New Roman" w:hAnsi="Times New Roman" w:eastAsia="宋体"/>
                <w:b w:val="0"/>
                <w:bCs w:val="0"/>
                <w:sz w:val="21"/>
                <w:szCs w:val="21"/>
                <w:lang w:val="en-US" w:eastAsia="zh-CN"/>
              </w:rPr>
              <w:t>防渗漏、防淋雨、防扬尘等要求</w:t>
            </w:r>
            <w:r>
              <w:rPr>
                <w:rFonts w:hint="default" w:ascii="Times New Roman" w:hAnsi="Times New Roman" w:eastAsia="宋体"/>
                <w:b w:val="0"/>
                <w:bCs w:val="0"/>
                <w:sz w:val="21"/>
                <w:szCs w:val="21"/>
                <w:lang w:val="en-US" w:eastAsia="zh-CN"/>
              </w:rPr>
              <w:t>。此外企业应建立一般固体废物污染环境防治责任制度按照《一般工业固体废物管理台账制定指南（试行）》建立固体废物管理台账，如实记录工业固体废物的种类、数量、流向、贮存、利用、处置等信息。</w:t>
            </w:r>
          </w:p>
          <w:p w14:paraId="338308CD">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综上，建设单位只要落实本次环评要求的环保措施，项目产生的固体废弃物均能得到妥善处理，对环境影响很小。</w:t>
            </w:r>
          </w:p>
          <w:p w14:paraId="73C3BBDC">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（2）危险废物暂存及处置要求</w:t>
            </w:r>
          </w:p>
          <w:p w14:paraId="4A9B6EFD">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项目危险废物均按《危险废物贮存污染控制标准》（GB18597-2023）及其他危险废物的相关规定进行分类收集。本项目在生产车间旁设置单独危废暂存间，建筑面积5m</w:t>
            </w:r>
            <w:r>
              <w:rPr>
                <w:rFonts w:hint="default" w:ascii="Times New Roman" w:hAnsi="Times New Roman" w:eastAsia="宋体"/>
                <w:b w:val="0"/>
                <w:bCs w:val="0"/>
                <w:sz w:val="21"/>
                <w:szCs w:val="21"/>
                <w:vertAlign w:val="superscript"/>
                <w:lang w:val="en-US" w:eastAsia="zh-CN"/>
              </w:rPr>
              <w:t>2</w:t>
            </w:r>
            <w:r>
              <w:rPr>
                <w:rFonts w:hint="default" w:ascii="Times New Roman" w:hAnsi="Times New Roman" w:eastAsia="宋体"/>
                <w:b w:val="0"/>
                <w:bCs w:val="0"/>
                <w:sz w:val="21"/>
                <w:szCs w:val="21"/>
                <w:lang w:val="en-US" w:eastAsia="zh-CN"/>
              </w:rPr>
              <w:t>，作为危险废物临时贮存点。</w:t>
            </w:r>
          </w:p>
          <w:p w14:paraId="0BD33F7D">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危废暂存间设计严格按照《危险废物贮存污染控制标准》（GB18597-2023）中相关要求：</w:t>
            </w:r>
          </w:p>
          <w:p w14:paraId="5E6066E1">
            <w:pPr>
              <w:pageBreakBefore w:val="0"/>
              <w:widowControl/>
              <w:kinsoku/>
              <w:wordWrap/>
              <w:overflowPunct/>
              <w:topLinePunct w:val="0"/>
              <w:autoSpaceDE/>
              <w:autoSpaceDN/>
              <w:bidi w:val="0"/>
              <w:adjustRightInd/>
              <w:snapToGrid/>
              <w:spacing w:line="360" w:lineRule="auto"/>
              <w:ind w:firstLine="560"/>
              <w:jc w:val="left"/>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①</w:t>
            </w:r>
            <w:r>
              <w:rPr>
                <w:rFonts w:hint="default" w:ascii="Times New Roman" w:hAnsi="Times New Roman" w:eastAsia="宋体"/>
                <w:b w:val="0"/>
                <w:bCs w:val="0"/>
                <w:sz w:val="21"/>
                <w:szCs w:val="21"/>
                <w:lang w:val="en-US" w:eastAsia="zh-CN"/>
              </w:rPr>
              <w:t>防渗措施应满足《危险废物贮存污染控制标准》（GB18597—2023）防渗要求：基础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-7cm/s），或至少2mm厚高密度聚乙烯膜等人工防渗材料（渗透系数不大于10-10cm/s），或其他防渗性能等效的材料。</w:t>
            </w:r>
          </w:p>
          <w:p w14:paraId="5FA3F592">
            <w:pPr>
              <w:pageBreakBefore w:val="0"/>
              <w:widowControl/>
              <w:kinsoku/>
              <w:wordWrap/>
              <w:overflowPunct/>
              <w:topLinePunct w:val="0"/>
              <w:autoSpaceDE/>
              <w:autoSpaceDN/>
              <w:bidi w:val="0"/>
              <w:adjustRightInd/>
              <w:snapToGrid/>
              <w:spacing w:line="360" w:lineRule="auto"/>
              <w:ind w:firstLine="560"/>
              <w:jc w:val="left"/>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②</w:t>
            </w:r>
            <w:r>
              <w:rPr>
                <w:rFonts w:hint="default" w:ascii="Times New Roman" w:hAnsi="Times New Roman" w:eastAsia="宋体"/>
                <w:b w:val="0"/>
                <w:bCs w:val="0"/>
                <w:sz w:val="21"/>
                <w:szCs w:val="21"/>
                <w:lang w:val="en-US" w:eastAsia="zh-CN"/>
              </w:rPr>
              <w:t>渗漏收集措施应满足《危险废物贮存污染控制标准》</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GB18597-2023）要求：危险废物贮存设施</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仓库式</w:t>
            </w:r>
            <w:r>
              <w:rPr>
                <w:rFonts w:hint="eastAsia" w:ascii="Times New Roman" w:hAnsi="Times New Roman" w:eastAsia="宋体"/>
                <w:b w:val="0"/>
                <w:bCs w:val="0"/>
                <w:sz w:val="21"/>
                <w:szCs w:val="21"/>
                <w:lang w:val="en-US" w:eastAsia="zh-CN"/>
              </w:rPr>
              <w:t>）</w:t>
            </w:r>
            <w:r>
              <w:rPr>
                <w:rFonts w:hint="default" w:ascii="Times New Roman" w:hAnsi="Times New Roman" w:eastAsia="宋体"/>
                <w:b w:val="0"/>
                <w:bCs w:val="0"/>
                <w:sz w:val="21"/>
                <w:szCs w:val="21"/>
                <w:lang w:val="en-US" w:eastAsia="zh-CN"/>
              </w:rPr>
              <w:t>的设计原则地面与裙脚要用坚固、防渗的材料建造，建筑材料必须与危险废物相容；有泄漏液体收集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五分之一。</w:t>
            </w:r>
          </w:p>
          <w:p w14:paraId="53940C5A">
            <w:pPr>
              <w:pageBreakBefore w:val="0"/>
              <w:widowControl/>
              <w:kinsoku/>
              <w:wordWrap/>
              <w:overflowPunct/>
              <w:topLinePunct w:val="0"/>
              <w:autoSpaceDE/>
              <w:autoSpaceDN/>
              <w:bidi w:val="0"/>
              <w:adjustRightInd/>
              <w:snapToGrid/>
              <w:spacing w:line="360" w:lineRule="auto"/>
              <w:ind w:firstLine="560"/>
              <w:jc w:val="left"/>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③</w:t>
            </w:r>
            <w:r>
              <w:rPr>
                <w:rFonts w:hint="default" w:ascii="Times New Roman" w:hAnsi="Times New Roman" w:eastAsia="宋体"/>
                <w:b w:val="0"/>
                <w:bCs w:val="0"/>
                <w:sz w:val="21"/>
                <w:szCs w:val="21"/>
                <w:lang w:val="en-US" w:eastAsia="zh-CN"/>
              </w:rPr>
              <w:t>装载液体、半固体危险废物的容器内须留足够空间，容器顶部与液体表面之间保留100mm以上的空间，液态危废需将盛装容器放至防泄漏托盘（或围堰）内并在容器粘贴危险废物标签。固态危废包装需完好无破损并系挂危险废物标签，并按要求填写。危废库内禁止存放除危险废物及应急工具以外的其他物品。此外，建设单位需要转移危险废物时，应当通过国家危险废物信息管理系统填写、运行危险废物电子转移联单，确保危险废物转移和处置过程得到全过程监控和管理，并依照国家有关规定公开危险废物转移相关污染环境防治信息。危险废物电子转移联单未经批准，不得进行转移。</w:t>
            </w:r>
          </w:p>
          <w:p w14:paraId="52F28526">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④根据《危险废物转移管理办法》（部令第</w:t>
            </w:r>
            <w:r>
              <w:rPr>
                <w:rFonts w:hint="default" w:ascii="Times New Roman" w:hAnsi="Times New Roman" w:eastAsia="宋体"/>
                <w:b w:val="0"/>
                <w:bCs w:val="0"/>
                <w:sz w:val="21"/>
                <w:szCs w:val="21"/>
                <w:lang w:val="en-US" w:eastAsia="zh-CN"/>
              </w:rPr>
              <w:t>23</w:t>
            </w:r>
            <w:r>
              <w:rPr>
                <w:rFonts w:hint="eastAsia" w:ascii="Times New Roman" w:hAnsi="Times New Roman" w:eastAsia="宋体"/>
                <w:b w:val="0"/>
                <w:bCs w:val="0"/>
                <w:sz w:val="21"/>
                <w:szCs w:val="21"/>
                <w:lang w:val="en-US" w:eastAsia="zh-CN"/>
              </w:rPr>
              <w:t>号）中“第六条转移危险废物的，应当执行危险废物转移联单制度，法律法规另有规定的除外。危险废物转移联单的格式和内容由生态环境部另行制定。第七条转移危险废物的，应当通过国家危险废物信息管理系统（以下简称信息系统）填写、运行危险废物电子转移联系单，并依照国家有关规定公开危险废物转移相关污染环境防治信息。生态环境部负责建设、运行和维护信息系统。”本项目的危废定期清运必须符合生态环境部的相关要求。转移危险废物时，应当通过国家危险废物信息管理系统（以下简称信息系统）填写、运行危险废物电子转移联单，并依照国家有关规定公开危险废物转移相关污染环境防治信息。</w:t>
            </w:r>
          </w:p>
          <w:p w14:paraId="6C107F58">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（3）危险废物的环境管理</w:t>
            </w:r>
          </w:p>
          <w:p w14:paraId="798E90CA">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本项目区内产生的危险废物需在厂内经过短途运输时，按照《危险废物收集 贮存 运输技术规范》（HJ2025-2012）的要求，采用危险废物运输汽车在厂区内运行转运，为更加安全环保的实现危险废物的厂内运输，本次环评要求建设单位在危废运输中应做到以下要求，具体要求见表4-</w:t>
            </w:r>
            <w:r>
              <w:rPr>
                <w:rFonts w:hint="eastAsia" w:ascii="Times New Roman" w:hAnsi="Times New Roman" w:eastAsia="宋体"/>
                <w:b w:val="0"/>
                <w:bCs w:val="0"/>
                <w:sz w:val="21"/>
                <w:szCs w:val="21"/>
                <w:lang w:val="en-US" w:eastAsia="zh-CN"/>
              </w:rPr>
              <w:t>11</w:t>
            </w:r>
            <w:r>
              <w:rPr>
                <w:rFonts w:hint="default" w:ascii="Times New Roman" w:hAnsi="Times New Roman" w:eastAsia="宋体"/>
                <w:b w:val="0"/>
                <w:bCs w:val="0"/>
                <w:sz w:val="21"/>
                <w:szCs w:val="21"/>
                <w:lang w:val="en-US" w:eastAsia="zh-CN"/>
              </w:rPr>
              <w:t>。</w:t>
            </w:r>
          </w:p>
          <w:p w14:paraId="06ED28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表4-</w:t>
            </w:r>
            <w:r>
              <w:rPr>
                <w:rFonts w:hint="eastAsia" w:ascii="黑体" w:hAnsi="黑体" w:eastAsia="黑体" w:cs="黑体"/>
                <w:b w:val="0"/>
                <w:bCs w:val="0"/>
                <w:sz w:val="21"/>
                <w:szCs w:val="21"/>
                <w:lang w:val="en-US" w:eastAsia="zh-CN"/>
              </w:rPr>
              <w:t xml:space="preserve">11  </w:t>
            </w:r>
            <w:r>
              <w:rPr>
                <w:rFonts w:hint="eastAsia" w:ascii="黑体" w:hAnsi="黑体" w:eastAsia="黑体" w:cs="黑体"/>
                <w:b w:val="0"/>
                <w:bCs w:val="0"/>
                <w:sz w:val="21"/>
                <w:szCs w:val="21"/>
              </w:rPr>
              <w:t xml:space="preserve"> 本项目运输要求一览表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7284"/>
            </w:tblGrid>
            <w:tr w14:paraId="5398E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pct"/>
                  <w:tcBorders>
                    <w:tl2br w:val="nil"/>
                    <w:tr2bl w:val="nil"/>
                  </w:tcBorders>
                  <w:noWrap w:val="0"/>
                  <w:vAlign w:val="center"/>
                </w:tcPr>
                <w:p w14:paraId="4CB5ABE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运输对象</w:t>
                  </w:r>
                </w:p>
              </w:tc>
              <w:tc>
                <w:tcPr>
                  <w:tcW w:w="4288" w:type="pct"/>
                  <w:tcBorders>
                    <w:tl2br w:val="nil"/>
                    <w:tr2bl w:val="nil"/>
                  </w:tcBorders>
                  <w:noWrap w:val="0"/>
                  <w:vAlign w:val="center"/>
                </w:tcPr>
                <w:p w14:paraId="0D529B0C">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运输要求标准</w:t>
                  </w:r>
                </w:p>
              </w:tc>
            </w:tr>
            <w:tr w14:paraId="41BC2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11" w:type="pct"/>
                  <w:tcBorders>
                    <w:tl2br w:val="nil"/>
                    <w:tr2bl w:val="nil"/>
                  </w:tcBorders>
                  <w:noWrap w:val="0"/>
                  <w:vAlign w:val="center"/>
                </w:tcPr>
                <w:p w14:paraId="67A73826">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危险废物</w:t>
                  </w:r>
                </w:p>
              </w:tc>
              <w:tc>
                <w:tcPr>
                  <w:tcW w:w="4288" w:type="pct"/>
                  <w:tcBorders>
                    <w:tl2br w:val="nil"/>
                    <w:tr2bl w:val="nil"/>
                  </w:tcBorders>
                  <w:noWrap w:val="0"/>
                  <w:vAlign w:val="center"/>
                </w:tcPr>
                <w:p w14:paraId="335AD2EF">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① 根据危险废物的产生点，规划转运路线，路线应尽量避开办公生活区；</w:t>
                  </w:r>
                </w:p>
                <w:p w14:paraId="5AB9BBD6">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② 采用专用工具，填写《危险废物厂内转运记录表》</w:t>
                  </w:r>
                </w:p>
                <w:p w14:paraId="55C3FEA8">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③ 内部转运结束后，应硅转运路线进行检查和清理，确保无危险废物遗失在转运路线上，并对转运工具进行清洗。</w:t>
                  </w:r>
                </w:p>
              </w:tc>
            </w:tr>
          </w:tbl>
          <w:p w14:paraId="13E7F802">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① 建设单位应建立危险废物管理计划，并报当地环境保护行政主管部门备案，危险废物管理计划内容有重大改变的，应当及时申报。如实地向所在地环境保护行政主管部门申报危险废物的种类、产生量、流向、</w:t>
            </w:r>
            <w:r>
              <w:rPr>
                <w:rFonts w:hint="default" w:ascii="Times New Roman" w:hAnsi="Times New Roman" w:eastAsia="宋体"/>
                <w:b w:val="0"/>
                <w:bCs w:val="0"/>
                <w:sz w:val="21"/>
                <w:szCs w:val="21"/>
                <w:lang w:eastAsia="zh-CN"/>
              </w:rPr>
              <w:t>暂存</w:t>
            </w:r>
            <w:r>
              <w:rPr>
                <w:rFonts w:hint="default" w:ascii="Times New Roman" w:hAnsi="Times New Roman" w:eastAsia="宋体"/>
                <w:b w:val="0"/>
                <w:bCs w:val="0"/>
                <w:sz w:val="21"/>
                <w:szCs w:val="21"/>
              </w:rPr>
              <w:t>、处置等有关资料。</w:t>
            </w:r>
          </w:p>
          <w:p w14:paraId="7896AF9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② 危险废物的容器和包装物必须设置危险废物识别标志。收集、</w:t>
            </w:r>
            <w:r>
              <w:rPr>
                <w:rFonts w:hint="default" w:ascii="Times New Roman" w:hAnsi="Times New Roman" w:eastAsia="宋体"/>
                <w:b w:val="0"/>
                <w:bCs w:val="0"/>
                <w:sz w:val="21"/>
                <w:szCs w:val="21"/>
                <w:lang w:eastAsia="zh-CN"/>
              </w:rPr>
              <w:t>暂存</w:t>
            </w:r>
            <w:r>
              <w:rPr>
                <w:rFonts w:hint="default" w:ascii="Times New Roman" w:hAnsi="Times New Roman" w:eastAsia="宋体"/>
                <w:b w:val="0"/>
                <w:bCs w:val="0"/>
                <w:sz w:val="21"/>
                <w:szCs w:val="21"/>
              </w:rPr>
              <w:t>、运输危险废物的设施、场所，必须设置危险废物识别标志。详见表4-</w:t>
            </w:r>
            <w:r>
              <w:rPr>
                <w:rFonts w:hint="eastAsia" w:ascii="Times New Roman" w:hAnsi="Times New Roman" w:eastAsia="宋体"/>
                <w:b w:val="0"/>
                <w:bCs w:val="0"/>
                <w:sz w:val="21"/>
                <w:szCs w:val="21"/>
                <w:lang w:val="en-US" w:eastAsia="zh-CN"/>
              </w:rPr>
              <w:t>12</w:t>
            </w:r>
            <w:r>
              <w:rPr>
                <w:rFonts w:hint="default" w:ascii="Times New Roman" w:hAnsi="Times New Roman" w:eastAsia="宋体"/>
                <w:b w:val="0"/>
                <w:bCs w:val="0"/>
                <w:sz w:val="21"/>
                <w:szCs w:val="21"/>
              </w:rPr>
              <w:t>危险废物标志。</w:t>
            </w:r>
          </w:p>
          <w:p w14:paraId="2AE94BB7">
            <w:pPr>
              <w:pStyle w:val="118"/>
              <w:pageBreakBefore w:val="0"/>
              <w:shd w:val="clear" w:color="auto" w:fill="auto"/>
              <w:bidi w:val="0"/>
              <w:adjustRightInd w:val="0"/>
              <w:snapToGrid w:val="0"/>
              <w:spacing w:line="240" w:lineRule="auto"/>
              <w:rPr>
                <w:rFonts w:hint="eastAsia" w:ascii="黑体" w:hAnsi="黑体" w:eastAsia="黑体" w:cs="黑体"/>
                <w:b w:val="0"/>
                <w:bCs w:val="0"/>
                <w:sz w:val="21"/>
                <w:szCs w:val="21"/>
              </w:rPr>
            </w:pPr>
            <w:r>
              <w:rPr>
                <w:rFonts w:hint="eastAsia" w:ascii="黑体" w:hAnsi="黑体" w:eastAsia="黑体" w:cs="黑体"/>
                <w:b w:val="0"/>
                <w:bCs w:val="0"/>
                <w:sz w:val="21"/>
                <w:szCs w:val="21"/>
              </w:rPr>
              <w:t>表4-</w:t>
            </w:r>
            <w:r>
              <w:rPr>
                <w:rFonts w:hint="eastAsia" w:ascii="黑体" w:hAnsi="黑体" w:eastAsia="黑体" w:cs="黑体"/>
                <w:b w:val="0"/>
                <w:bCs w:val="0"/>
                <w:sz w:val="21"/>
                <w:szCs w:val="21"/>
                <w:lang w:val="en-US" w:eastAsia="zh-CN"/>
              </w:rPr>
              <w:t>12</w:t>
            </w:r>
            <w:r>
              <w:rPr>
                <w:rFonts w:hint="eastAsia" w:ascii="黑体" w:hAnsi="黑体" w:eastAsia="黑体" w:cs="黑体"/>
                <w:b w:val="0"/>
                <w:bCs w:val="0"/>
                <w:sz w:val="21"/>
                <w:szCs w:val="21"/>
              </w:rPr>
              <w:t xml:space="preserve">  危险废物标识标牌</w:t>
            </w:r>
          </w:p>
          <w:tbl>
            <w:tblPr>
              <w:tblStyle w:val="30"/>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050"/>
              <w:gridCol w:w="2625"/>
              <w:gridCol w:w="2985"/>
            </w:tblGrid>
            <w:tr w14:paraId="32578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Borders>
                    <w:tl2br w:val="nil"/>
                    <w:tr2bl w:val="nil"/>
                  </w:tcBorders>
                  <w:noWrap w:val="0"/>
                  <w:vAlign w:val="center"/>
                </w:tcPr>
                <w:p w14:paraId="05802FAD">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位置</w:t>
                  </w:r>
                </w:p>
              </w:tc>
              <w:tc>
                <w:tcPr>
                  <w:tcW w:w="1232" w:type="pct"/>
                  <w:tcBorders>
                    <w:tl2br w:val="nil"/>
                    <w:tr2bl w:val="nil"/>
                  </w:tcBorders>
                  <w:noWrap w:val="0"/>
                  <w:vAlign w:val="center"/>
                </w:tcPr>
                <w:p w14:paraId="477B49DA">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rPr>
                    <w:t>危险废物</w:t>
                  </w:r>
                  <w:r>
                    <w:rPr>
                      <w:rFonts w:hint="default" w:ascii="Times New Roman" w:hAnsi="Times New Roman" w:eastAsia="宋体"/>
                      <w:b w:val="0"/>
                      <w:bCs w:val="0"/>
                      <w:sz w:val="21"/>
                      <w:szCs w:val="21"/>
                      <w:lang w:val="en-US" w:eastAsia="zh-CN"/>
                    </w:rPr>
                    <w:t>标签</w:t>
                  </w:r>
                </w:p>
              </w:tc>
              <w:tc>
                <w:tcPr>
                  <w:tcW w:w="1578" w:type="pct"/>
                  <w:tcBorders>
                    <w:tl2br w:val="nil"/>
                    <w:tr2bl w:val="nil"/>
                  </w:tcBorders>
                  <w:noWrap w:val="0"/>
                  <w:vAlign w:val="center"/>
                </w:tcPr>
                <w:p w14:paraId="4D5C6951">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危险废物分区存放标志</w:t>
                  </w:r>
                </w:p>
              </w:tc>
              <w:tc>
                <w:tcPr>
                  <w:tcW w:w="1794" w:type="pct"/>
                  <w:tcBorders>
                    <w:tl2br w:val="nil"/>
                    <w:tr2bl w:val="nil"/>
                  </w:tcBorders>
                  <w:noWrap w:val="0"/>
                  <w:vAlign w:val="center"/>
                </w:tcPr>
                <w:p w14:paraId="517CF708">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lang w:val="en-US" w:eastAsia="zh-CN"/>
                    </w:rPr>
                  </w:pPr>
                  <w:r>
                    <w:rPr>
                      <w:rFonts w:hint="default" w:ascii="Times New Roman" w:hAnsi="Times New Roman" w:eastAsia="宋体"/>
                      <w:b w:val="0"/>
                      <w:bCs w:val="0"/>
                      <w:sz w:val="21"/>
                      <w:szCs w:val="21"/>
                      <w:lang w:val="en-US" w:eastAsia="zh-CN"/>
                    </w:rPr>
                    <w:t>危险废物贮存设施标志</w:t>
                  </w:r>
                </w:p>
              </w:tc>
            </w:tr>
            <w:tr w14:paraId="6A385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94" w:type="pct"/>
                  <w:tcBorders>
                    <w:tl2br w:val="nil"/>
                    <w:tr2bl w:val="nil"/>
                  </w:tcBorders>
                  <w:noWrap w:val="0"/>
                  <w:vAlign w:val="center"/>
                </w:tcPr>
                <w:p w14:paraId="5D9C3EF0">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图形符号</w:t>
                  </w:r>
                </w:p>
              </w:tc>
              <w:tc>
                <w:tcPr>
                  <w:tcW w:w="1232" w:type="pct"/>
                  <w:tcBorders>
                    <w:tl2br w:val="nil"/>
                    <w:tr2bl w:val="nil"/>
                  </w:tcBorders>
                  <w:noWrap w:val="0"/>
                  <w:vAlign w:val="center"/>
                </w:tcPr>
                <w:p w14:paraId="1AE69AE7">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drawing>
                      <wp:inline distT="0" distB="0" distL="114300" distR="114300">
                        <wp:extent cx="1035050" cy="1035050"/>
                        <wp:effectExtent l="0" t="0" r="12700" b="1270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32"/>
                                <a:stretch>
                                  <a:fillRect/>
                                </a:stretch>
                              </pic:blipFill>
                              <pic:spPr>
                                <a:xfrm>
                                  <a:off x="0" y="0"/>
                                  <a:ext cx="1035050" cy="1035050"/>
                                </a:xfrm>
                                <a:prstGeom prst="rect">
                                  <a:avLst/>
                                </a:prstGeom>
                                <a:noFill/>
                                <a:ln>
                                  <a:noFill/>
                                </a:ln>
                              </pic:spPr>
                            </pic:pic>
                          </a:graphicData>
                        </a:graphic>
                      </wp:inline>
                    </w:drawing>
                  </w:r>
                </w:p>
              </w:tc>
              <w:tc>
                <w:tcPr>
                  <w:tcW w:w="1578" w:type="pct"/>
                  <w:tcBorders>
                    <w:tl2br w:val="nil"/>
                    <w:tr2bl w:val="nil"/>
                  </w:tcBorders>
                  <w:noWrap w:val="0"/>
                  <w:vAlign w:val="center"/>
                </w:tcPr>
                <w:p w14:paraId="1A21E7A1">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drawing>
                      <wp:inline distT="0" distB="0" distL="114300" distR="114300">
                        <wp:extent cx="1303655" cy="1096645"/>
                        <wp:effectExtent l="0" t="0" r="1079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3"/>
                                <a:stretch>
                                  <a:fillRect/>
                                </a:stretch>
                              </pic:blipFill>
                              <pic:spPr>
                                <a:xfrm>
                                  <a:off x="0" y="0"/>
                                  <a:ext cx="1303655" cy="1096645"/>
                                </a:xfrm>
                                <a:prstGeom prst="rect">
                                  <a:avLst/>
                                </a:prstGeom>
                                <a:noFill/>
                                <a:ln>
                                  <a:noFill/>
                                </a:ln>
                              </pic:spPr>
                            </pic:pic>
                          </a:graphicData>
                        </a:graphic>
                      </wp:inline>
                    </w:drawing>
                  </w:r>
                </w:p>
              </w:tc>
              <w:tc>
                <w:tcPr>
                  <w:tcW w:w="1794" w:type="pct"/>
                  <w:tcBorders>
                    <w:tl2br w:val="nil"/>
                    <w:tr2bl w:val="nil"/>
                  </w:tcBorders>
                  <w:noWrap w:val="0"/>
                  <w:vAlign w:val="center"/>
                </w:tcPr>
                <w:p w14:paraId="5C0228D8">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baseline"/>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drawing>
                      <wp:inline distT="0" distB="0" distL="114300" distR="114300">
                        <wp:extent cx="1743710" cy="1097915"/>
                        <wp:effectExtent l="0" t="0" r="889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4"/>
                                <a:stretch>
                                  <a:fillRect/>
                                </a:stretch>
                              </pic:blipFill>
                              <pic:spPr>
                                <a:xfrm>
                                  <a:off x="0" y="0"/>
                                  <a:ext cx="1743710" cy="1097915"/>
                                </a:xfrm>
                                <a:prstGeom prst="rect">
                                  <a:avLst/>
                                </a:prstGeom>
                                <a:noFill/>
                                <a:ln>
                                  <a:noFill/>
                                </a:ln>
                              </pic:spPr>
                            </pic:pic>
                          </a:graphicData>
                        </a:graphic>
                      </wp:inline>
                    </w:drawing>
                  </w:r>
                </w:p>
              </w:tc>
            </w:tr>
          </w:tbl>
          <w:p w14:paraId="2B3BF650">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③ 制定意外事故的防范措施和应急预案，向所在地环境保护行政主管部门备案，并按照预案要求每年组织应急演练。</w:t>
            </w:r>
          </w:p>
          <w:p w14:paraId="73A29575">
            <w:pPr>
              <w:keepNext w:val="0"/>
              <w:keepLines w:val="0"/>
              <w:pageBreakBefore w:val="0"/>
              <w:widowControl w:val="0"/>
              <w:shd w:val="clear" w:color="auto" w:fill="auto"/>
              <w:kinsoku/>
              <w:wordWrap/>
              <w:overflowPunct/>
              <w:autoSpaceDE/>
              <w:autoSpaceDN/>
              <w:bidi w:val="0"/>
              <w:adjustRightInd w:val="0"/>
              <w:snapToGrid w:val="0"/>
              <w:spacing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④ 危险废物均按《危险废物贮存污染控制标准》</w:t>
            </w:r>
            <w:r>
              <w:rPr>
                <w:rFonts w:hint="default" w:ascii="Times New Roman" w:hAnsi="Times New Roman" w:eastAsia="宋体"/>
                <w:b w:val="0"/>
                <w:bCs w:val="0"/>
                <w:sz w:val="21"/>
                <w:szCs w:val="21"/>
                <w:lang w:eastAsia="zh-CN"/>
              </w:rPr>
              <w:t>（</w:t>
            </w:r>
            <w:r>
              <w:rPr>
                <w:rFonts w:hint="default" w:ascii="Times New Roman" w:hAnsi="Times New Roman" w:eastAsia="宋体"/>
                <w:b w:val="0"/>
                <w:bCs w:val="0"/>
                <w:sz w:val="21"/>
                <w:szCs w:val="21"/>
              </w:rPr>
              <w:t>GB18579-20</w:t>
            </w:r>
            <w:r>
              <w:rPr>
                <w:rFonts w:hint="default" w:ascii="Times New Roman" w:hAnsi="Times New Roman" w:eastAsia="宋体"/>
                <w:b w:val="0"/>
                <w:bCs w:val="0"/>
                <w:sz w:val="21"/>
                <w:szCs w:val="21"/>
                <w:lang w:val="en-US" w:eastAsia="zh-CN"/>
              </w:rPr>
              <w:t>23</w:t>
            </w:r>
            <w:r>
              <w:rPr>
                <w:rFonts w:hint="default" w:ascii="Times New Roman" w:hAnsi="Times New Roman" w:eastAsia="宋体"/>
                <w:b w:val="0"/>
                <w:bCs w:val="0"/>
                <w:sz w:val="21"/>
                <w:szCs w:val="21"/>
                <w:lang w:eastAsia="zh-CN"/>
              </w:rPr>
              <w:t>）</w:t>
            </w:r>
            <w:r>
              <w:rPr>
                <w:rFonts w:hint="default" w:ascii="Times New Roman" w:hAnsi="Times New Roman" w:eastAsia="宋体"/>
                <w:b w:val="0"/>
                <w:bCs w:val="0"/>
                <w:sz w:val="21"/>
                <w:szCs w:val="21"/>
              </w:rPr>
              <w:t>及其他危险废物的相关规定进行分类收集、</w:t>
            </w:r>
            <w:r>
              <w:rPr>
                <w:rFonts w:hint="default" w:ascii="Times New Roman" w:hAnsi="Times New Roman" w:eastAsia="宋体"/>
                <w:b w:val="0"/>
                <w:bCs w:val="0"/>
                <w:sz w:val="21"/>
                <w:szCs w:val="21"/>
                <w:lang w:eastAsia="zh-CN"/>
              </w:rPr>
              <w:t>暂存</w:t>
            </w:r>
            <w:r>
              <w:rPr>
                <w:rFonts w:hint="default" w:ascii="Times New Roman" w:hAnsi="Times New Roman" w:eastAsia="宋体"/>
                <w:b w:val="0"/>
                <w:bCs w:val="0"/>
                <w:sz w:val="21"/>
                <w:szCs w:val="21"/>
              </w:rPr>
              <w:t>危险废物，不混合</w:t>
            </w:r>
            <w:r>
              <w:rPr>
                <w:rFonts w:hint="default" w:ascii="Times New Roman" w:hAnsi="Times New Roman" w:eastAsia="宋体"/>
                <w:b w:val="0"/>
                <w:bCs w:val="0"/>
                <w:sz w:val="21"/>
                <w:szCs w:val="21"/>
                <w:lang w:eastAsia="zh-CN"/>
              </w:rPr>
              <w:t>暂存</w:t>
            </w:r>
            <w:r>
              <w:rPr>
                <w:rFonts w:hint="default" w:ascii="Times New Roman" w:hAnsi="Times New Roman" w:eastAsia="宋体"/>
                <w:b w:val="0"/>
                <w:bCs w:val="0"/>
                <w:sz w:val="21"/>
                <w:szCs w:val="21"/>
              </w:rPr>
              <w:t>性质不相容而未经安全性处置的危险废物，装载危险废物的容器完好无损。</w:t>
            </w:r>
          </w:p>
          <w:p w14:paraId="777C0C0F">
            <w:pPr>
              <w:keepNext w:val="0"/>
              <w:keepLines w:val="0"/>
              <w:pageBreakBefore w:val="0"/>
              <w:widowControl w:val="0"/>
              <w:shd w:val="clear" w:color="auto" w:fill="auto"/>
              <w:kinsoku/>
              <w:wordWrap/>
              <w:overflowPunct/>
              <w:autoSpaceDE/>
              <w:autoSpaceDN/>
              <w:bidi w:val="0"/>
              <w:adjustRightInd w:val="0"/>
              <w:snapToGrid w:val="0"/>
              <w:spacing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⑤ 建立危险废物经营情况记录簿，如实记载收集、</w:t>
            </w:r>
            <w:r>
              <w:rPr>
                <w:rFonts w:hint="default" w:ascii="Times New Roman" w:hAnsi="Times New Roman" w:eastAsia="宋体"/>
                <w:b w:val="0"/>
                <w:bCs w:val="0"/>
                <w:sz w:val="21"/>
                <w:szCs w:val="21"/>
                <w:lang w:eastAsia="zh-CN"/>
              </w:rPr>
              <w:t>暂存</w:t>
            </w:r>
            <w:r>
              <w:rPr>
                <w:rFonts w:hint="default" w:ascii="Times New Roman" w:hAnsi="Times New Roman" w:eastAsia="宋体"/>
                <w:b w:val="0"/>
                <w:bCs w:val="0"/>
                <w:sz w:val="21"/>
                <w:szCs w:val="21"/>
              </w:rPr>
              <w:t>危险废物的类别、来源去向和有无事故等事项。</w:t>
            </w:r>
          </w:p>
          <w:p w14:paraId="5B95C58C">
            <w:pPr>
              <w:pStyle w:val="116"/>
              <w:keepNext w:val="0"/>
              <w:keepLines w:val="0"/>
              <w:pageBreakBefore w:val="0"/>
              <w:widowControl w:val="0"/>
              <w:shd w:val="clear" w:color="auto" w:fill="auto"/>
              <w:kinsoku/>
              <w:wordWrap/>
              <w:overflowPunct/>
              <w:autoSpaceDE/>
              <w:autoSpaceDN/>
              <w:bidi w:val="0"/>
              <w:adjustRightInd w:val="0"/>
              <w:snapToGrid w:val="0"/>
              <w:spacing w:line="360" w:lineRule="auto"/>
              <w:ind w:firstLine="42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⑥ 若发生事故或者其他突发性事件，应立即采取措施消除或者减轻对环境的污染危害，及时通报可能受到污染危害的单位和居民，并向所在地环保部门和有关部门报告。</w:t>
            </w:r>
          </w:p>
          <w:p w14:paraId="3817DD91">
            <w:pPr>
              <w:keepNext w:val="0"/>
              <w:keepLines w:val="0"/>
              <w:pageBreakBefore w:val="0"/>
              <w:widowControl w:val="0"/>
              <w:shd w:val="clear" w:color="auto" w:fill="auto"/>
              <w:kinsoku/>
              <w:wordWrap/>
              <w:overflowPunct/>
              <w:topLinePunct/>
              <w:autoSpaceDE/>
              <w:autoSpaceDN/>
              <w:bidi w:val="0"/>
              <w:spacing w:line="360" w:lineRule="auto"/>
              <w:ind w:firstLine="420" w:firstLineChars="200"/>
              <w:textAlignment w:val="auto"/>
              <w:rPr>
                <w:rFonts w:hint="default" w:ascii="Times New Roman" w:hAnsi="Times New Roman" w:eastAsia="宋体"/>
                <w:b w:val="0"/>
                <w:bCs w:val="0"/>
                <w:sz w:val="21"/>
                <w:szCs w:val="21"/>
              </w:rPr>
            </w:pPr>
            <w:r>
              <w:rPr>
                <w:rFonts w:hint="default" w:ascii="Times New Roman" w:hAnsi="Times New Roman" w:eastAsia="宋体"/>
                <w:b w:val="0"/>
                <w:bCs w:val="0"/>
                <w:sz w:val="21"/>
                <w:szCs w:val="21"/>
              </w:rPr>
              <w:t>综上，建设单位只要落实本次环评要求的环保措施，项目产生的固体废弃物均能得到妥善处理，对环境影响很小。</w:t>
            </w:r>
          </w:p>
          <w:p w14:paraId="79C3CCAC">
            <w:pPr>
              <w:pageBreakBefore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b/>
                <w:bCs/>
                <w:sz w:val="21"/>
                <w:szCs w:val="21"/>
              </w:rPr>
            </w:pPr>
            <w:r>
              <w:rPr>
                <w:rFonts w:hint="eastAsia" w:ascii="Times New Roman" w:hAnsi="Times New Roman" w:eastAsia="宋体"/>
                <w:b/>
                <w:bCs/>
                <w:sz w:val="21"/>
                <w:szCs w:val="21"/>
                <w:lang w:val="en-US" w:eastAsia="zh-CN"/>
              </w:rPr>
              <w:t>五、</w:t>
            </w:r>
            <w:r>
              <w:rPr>
                <w:rFonts w:hint="eastAsia" w:ascii="Times New Roman" w:hAnsi="Times New Roman" w:eastAsia="宋体"/>
                <w:b/>
                <w:bCs/>
                <w:sz w:val="21"/>
                <w:szCs w:val="21"/>
              </w:rPr>
              <w:t>地下水、土壤影响分析</w:t>
            </w:r>
          </w:p>
          <w:p w14:paraId="66B55C12">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val="zh-CN" w:eastAsia="zh-CN"/>
              </w:rPr>
            </w:pPr>
            <w:r>
              <w:rPr>
                <w:rFonts w:hint="eastAsia" w:ascii="Times New Roman" w:hAnsi="Times New Roman" w:eastAsia="宋体"/>
                <w:b w:val="0"/>
                <w:bCs w:val="0"/>
                <w:sz w:val="21"/>
                <w:szCs w:val="21"/>
                <w:lang w:val="zh-CN" w:eastAsia="zh-CN"/>
              </w:rPr>
              <w:t>根据本项目运营期特点，本项目正常运行</w:t>
            </w:r>
            <w:r>
              <w:rPr>
                <w:rFonts w:hint="eastAsia" w:ascii="Times New Roman" w:hAnsi="Times New Roman" w:eastAsia="宋体"/>
                <w:b w:val="0"/>
                <w:bCs w:val="0"/>
                <w:sz w:val="21"/>
                <w:szCs w:val="21"/>
                <w:lang w:val="en-US" w:eastAsia="zh-CN"/>
              </w:rPr>
              <w:t>时</w:t>
            </w:r>
            <w:r>
              <w:rPr>
                <w:rFonts w:hint="eastAsia" w:ascii="Times New Roman" w:hAnsi="Times New Roman" w:eastAsia="宋体"/>
                <w:b w:val="0"/>
                <w:bCs w:val="0"/>
                <w:sz w:val="21"/>
                <w:szCs w:val="21"/>
                <w:lang w:val="zh-CN" w:eastAsia="zh-CN"/>
              </w:rPr>
              <w:t>无废水外排，不会对地下水、土壤产生影响，污水下渗则有可能会对土壤、地下水造成一定的不良影响。</w:t>
            </w:r>
          </w:p>
          <w:p w14:paraId="48C5F406">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zh-CN" w:eastAsia="zh-CN"/>
              </w:rPr>
              <w:t>本环评建议对项目区内危险废物暂存库</w:t>
            </w:r>
            <w:r>
              <w:rPr>
                <w:rFonts w:hint="eastAsia" w:ascii="Times New Roman" w:hAnsi="Times New Roman" w:eastAsia="宋体"/>
                <w:b w:val="0"/>
                <w:bCs w:val="0"/>
                <w:sz w:val="21"/>
                <w:szCs w:val="21"/>
                <w:lang w:val="en-US" w:eastAsia="zh-CN"/>
              </w:rPr>
              <w:t>设为重点防渗区，地面、墙裙、导流槽、收集池采用C30混凝土浇筑建造，浇筑厚度大于15cm，清洁处理后分两次涂刷环氧树脂地坪漆，环氧树脂地坪漆厚度不应小于2mm，</w:t>
            </w:r>
            <w:r>
              <w:rPr>
                <w:rFonts w:hint="default" w:ascii="Times New Roman" w:hAnsi="Times New Roman" w:eastAsia="宋体"/>
                <w:b w:val="0"/>
                <w:bCs w:val="0"/>
                <w:sz w:val="21"/>
                <w:szCs w:val="21"/>
                <w:lang w:val="en-US" w:eastAsia="zh-CN"/>
              </w:rPr>
              <w:t>导流槽、</w:t>
            </w:r>
            <w:r>
              <w:rPr>
                <w:rFonts w:hint="eastAsia" w:ascii="Times New Roman" w:hAnsi="Times New Roman" w:eastAsia="宋体"/>
                <w:b w:val="0"/>
                <w:bCs w:val="0"/>
                <w:sz w:val="21"/>
                <w:szCs w:val="21"/>
                <w:lang w:val="en-US" w:eastAsia="zh-CN"/>
              </w:rPr>
              <w:t>废液收集池（容积1m</w:t>
            </w:r>
            <w:r>
              <w:rPr>
                <w:rFonts w:hint="eastAsia" w:ascii="Times New Roman" w:hAnsi="Times New Roman" w:eastAsia="宋体"/>
                <w:b w:val="0"/>
                <w:bCs w:val="0"/>
                <w:sz w:val="21"/>
                <w:szCs w:val="21"/>
                <w:vertAlign w:val="superscript"/>
                <w:lang w:val="en-US" w:eastAsia="zh-CN"/>
              </w:rPr>
              <w:t>3</w:t>
            </w:r>
            <w:r>
              <w:rPr>
                <w:rFonts w:hint="eastAsia" w:ascii="Times New Roman" w:hAnsi="Times New Roman" w:eastAsia="宋体"/>
                <w:b w:val="0"/>
                <w:bCs w:val="0"/>
                <w:sz w:val="21"/>
                <w:szCs w:val="21"/>
                <w:lang w:val="en-US" w:eastAsia="zh-CN"/>
              </w:rPr>
              <w:t>）。</w:t>
            </w:r>
          </w:p>
          <w:p w14:paraId="7A9C855A">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val="zh-CN" w:eastAsia="zh-CN"/>
              </w:rPr>
            </w:pPr>
            <w:r>
              <w:rPr>
                <w:rFonts w:hint="eastAsia" w:ascii="Times New Roman" w:hAnsi="Times New Roman" w:eastAsia="宋体"/>
                <w:b w:val="0"/>
                <w:bCs w:val="0"/>
                <w:sz w:val="21"/>
                <w:szCs w:val="21"/>
                <w:lang w:val="en-US" w:eastAsia="zh-CN"/>
              </w:rPr>
              <w:t>一般防渗区为化粪池及污水管网接管区，地面要硬化防渗处理。</w:t>
            </w:r>
            <w:r>
              <w:rPr>
                <w:rFonts w:hint="eastAsia" w:ascii="Times New Roman" w:hAnsi="Times New Roman" w:eastAsia="宋体"/>
                <w:b w:val="0"/>
                <w:bCs w:val="0"/>
                <w:sz w:val="21"/>
                <w:szCs w:val="21"/>
                <w:lang w:val="zh-CN" w:eastAsia="zh-CN"/>
              </w:rPr>
              <w:t>运行期加强管理，定期检修或者维护，及时发现可能存在的污水泄漏隐患，防止产生的废水渗入地下对土壤和地下水产生影响。</w:t>
            </w:r>
            <w:r>
              <w:rPr>
                <w:rFonts w:hint="eastAsia" w:ascii="Times New Roman" w:hAnsi="Times New Roman" w:eastAsia="宋体"/>
                <w:b w:val="0"/>
                <w:bCs w:val="0"/>
                <w:sz w:val="21"/>
                <w:szCs w:val="21"/>
                <w:lang w:val="en-US" w:eastAsia="zh-CN"/>
              </w:rPr>
              <w:t>未硬化区域建议辅助绿化。</w:t>
            </w:r>
          </w:p>
          <w:p w14:paraId="1820CA29">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简单防渗区为生活区、生产区及厂区道路，地面要硬化防渗处理。</w:t>
            </w:r>
            <w:r>
              <w:rPr>
                <w:rFonts w:hint="eastAsia" w:ascii="Times New Roman" w:hAnsi="Times New Roman" w:eastAsia="宋体"/>
                <w:b w:val="0"/>
                <w:bCs w:val="0"/>
                <w:sz w:val="21"/>
                <w:szCs w:val="21"/>
                <w:lang w:val="zh-CN" w:eastAsia="zh-CN"/>
              </w:rPr>
              <w:t>运行期加强管理，定期检修或者维护，及时发现可能存在的</w:t>
            </w:r>
            <w:r>
              <w:rPr>
                <w:rFonts w:hint="eastAsia" w:ascii="Times New Roman" w:hAnsi="Times New Roman" w:eastAsia="宋体"/>
                <w:b w:val="0"/>
                <w:bCs w:val="0"/>
                <w:sz w:val="21"/>
                <w:szCs w:val="21"/>
                <w:lang w:val="en-US" w:eastAsia="zh-CN"/>
              </w:rPr>
              <w:t>裂缝、破损或其他渗漏隐患，确保防渗效果持续有效。</w:t>
            </w:r>
            <w:r>
              <w:rPr>
                <w:rFonts w:hint="eastAsia" w:ascii="Times New Roman" w:hAnsi="Times New Roman" w:eastAsia="宋体"/>
                <w:b w:val="0"/>
                <w:bCs w:val="0"/>
                <w:sz w:val="21"/>
                <w:szCs w:val="21"/>
                <w:lang w:val="zh-CN" w:eastAsia="zh-CN"/>
              </w:rPr>
              <w:t>综上所述，</w:t>
            </w:r>
            <w:r>
              <w:rPr>
                <w:rFonts w:hint="eastAsia" w:ascii="Times New Roman" w:hAnsi="Times New Roman" w:eastAsia="宋体"/>
                <w:b w:val="0"/>
                <w:bCs w:val="0"/>
                <w:sz w:val="21"/>
                <w:szCs w:val="21"/>
                <w:lang w:val="en-US" w:eastAsia="zh-CN"/>
              </w:rPr>
              <w:t>本项目正常情况下不会对地下水、土壤造成污染影响</w:t>
            </w:r>
            <w:r>
              <w:rPr>
                <w:rFonts w:hint="eastAsia" w:ascii="Times New Roman" w:hAnsi="Times New Roman" w:eastAsia="宋体"/>
                <w:b w:val="0"/>
                <w:bCs w:val="0"/>
                <w:sz w:val="21"/>
                <w:szCs w:val="21"/>
                <w:lang w:val="zh-CN" w:eastAsia="zh-CN"/>
              </w:rPr>
              <w:t>。</w:t>
            </w:r>
          </w:p>
          <w:p w14:paraId="11E2C99C">
            <w:pPr>
              <w:pageBreakBefore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b/>
                <w:bCs/>
                <w:sz w:val="21"/>
                <w:szCs w:val="21"/>
              </w:rPr>
            </w:pPr>
            <w:r>
              <w:rPr>
                <w:rFonts w:hint="eastAsia" w:ascii="Times New Roman" w:hAnsi="Times New Roman" w:eastAsia="宋体"/>
                <w:b/>
                <w:bCs/>
                <w:sz w:val="21"/>
                <w:szCs w:val="21"/>
                <w:lang w:val="en-US" w:eastAsia="zh-CN"/>
              </w:rPr>
              <w:t>六、</w:t>
            </w:r>
            <w:r>
              <w:rPr>
                <w:rFonts w:hint="eastAsia" w:ascii="Times New Roman" w:hAnsi="Times New Roman" w:eastAsia="宋体"/>
                <w:b/>
                <w:bCs/>
                <w:sz w:val="21"/>
                <w:szCs w:val="21"/>
              </w:rPr>
              <w:t>生态环境影响和保护措施</w:t>
            </w:r>
          </w:p>
          <w:p w14:paraId="4250BC72">
            <w:pPr>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宋体"/>
                <w:b w:val="0"/>
                <w:bCs w:val="0"/>
                <w:sz w:val="21"/>
                <w:szCs w:val="21"/>
                <w:lang w:val="zh-CN" w:eastAsia="zh-CN"/>
              </w:rPr>
            </w:pPr>
            <w:r>
              <w:rPr>
                <w:rFonts w:hint="eastAsia" w:ascii="Times New Roman" w:hAnsi="Times New Roman" w:eastAsia="宋体"/>
                <w:b w:val="0"/>
                <w:bCs w:val="0"/>
                <w:sz w:val="21"/>
                <w:szCs w:val="21"/>
                <w:lang w:val="zh-CN" w:eastAsia="zh-CN"/>
              </w:rPr>
              <w:t>本项目位于</w:t>
            </w:r>
            <w:r>
              <w:rPr>
                <w:rFonts w:hint="eastAsia" w:ascii="Times New Roman" w:hAnsi="Times New Roman" w:eastAsia="宋体"/>
                <w:b w:val="0"/>
                <w:bCs w:val="0"/>
                <w:sz w:val="21"/>
                <w:szCs w:val="21"/>
                <w:lang w:val="en-US" w:eastAsia="zh-CN"/>
              </w:rPr>
              <w:t>第七师天北经济技术开发区（北区）支一路401号</w:t>
            </w: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zh-CN" w:eastAsia="zh-CN"/>
              </w:rPr>
              <w:t>根据现场调查及资料收集，本项目占地范围内及厂界外500米范围内没有国家和自治区级保护野生动植物分布，本项目所在区域地表有少量杂草，受人为活动影响，项目区内野生动物很少，只有一些常见的小型野生种类，如老鼠等小型动物，没有国家及自治区级保护动物。</w:t>
            </w:r>
          </w:p>
          <w:p w14:paraId="7EC795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b/>
                <w:bCs/>
                <w:sz w:val="21"/>
                <w:szCs w:val="21"/>
              </w:rPr>
            </w:pPr>
            <w:r>
              <w:rPr>
                <w:rFonts w:hint="eastAsia" w:ascii="Times New Roman" w:hAnsi="Times New Roman" w:eastAsia="宋体"/>
                <w:b/>
                <w:bCs/>
                <w:sz w:val="21"/>
                <w:szCs w:val="21"/>
                <w:lang w:val="en-US" w:eastAsia="zh-CN"/>
              </w:rPr>
              <w:t>七、</w:t>
            </w:r>
            <w:r>
              <w:rPr>
                <w:rFonts w:hint="eastAsia" w:ascii="Times New Roman" w:hAnsi="Times New Roman" w:eastAsia="宋体"/>
                <w:b/>
                <w:bCs/>
                <w:sz w:val="21"/>
                <w:szCs w:val="21"/>
              </w:rPr>
              <w:t>环境风险</w:t>
            </w:r>
          </w:p>
          <w:p w14:paraId="4AF36577">
            <w:pPr>
              <w:keepNext w:val="0"/>
              <w:keepLines w:val="0"/>
              <w:pageBreakBefore w:val="0"/>
              <w:widowControl/>
              <w:kinsoku/>
              <w:wordWrap/>
              <w:overflowPunct/>
              <w:topLinePunct w:val="0"/>
              <w:autoSpaceDE/>
              <w:autoSpaceDN/>
              <w:bidi w:val="0"/>
              <w:adjustRightInd/>
              <w:spacing w:line="360" w:lineRule="auto"/>
              <w:ind w:firstLine="56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环境风险评价是环境影响评价领域中的一个重要组成部分，伴随着人们对环境危险及其灾害的认识日益增强和环境影响评价工作的深入开展，人们已经逐渐从正常事件转移到对偶然事件发生可能性的环境影响进行风险研究。</w:t>
            </w:r>
          </w:p>
          <w:p w14:paraId="147A5D48">
            <w:pPr>
              <w:keepNext w:val="0"/>
              <w:keepLines w:val="0"/>
              <w:pageBreakBefore w:val="0"/>
              <w:widowControl/>
              <w:kinsoku/>
              <w:wordWrap/>
              <w:overflowPunct/>
              <w:topLinePunct w:val="0"/>
              <w:autoSpaceDE/>
              <w:autoSpaceDN/>
              <w:bidi w:val="0"/>
              <w:adjustRightInd/>
              <w:spacing w:line="360" w:lineRule="auto"/>
              <w:ind w:firstLine="560"/>
              <w:jc w:val="left"/>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环境风险评价的目的是分析和预测建设项目存在的潜在危险、有害因素，建设项目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4BFA7EF6">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7.1</w:t>
            </w:r>
            <w:r>
              <w:rPr>
                <w:rFonts w:ascii="Times New Roman" w:hAnsi="Times New Roman" w:eastAsia="宋体"/>
                <w:b w:val="0"/>
                <w:bCs w:val="0"/>
                <w:sz w:val="21"/>
                <w:szCs w:val="21"/>
              </w:rPr>
              <w:t>环境风险分析</w:t>
            </w:r>
          </w:p>
          <w:p w14:paraId="1777413F">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（1）本工程运行事故分析</w:t>
            </w:r>
          </w:p>
          <w:p w14:paraId="3946AEFD">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发生事故的原因较多</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设计、设备、管理等原因都可能导致</w:t>
            </w:r>
            <w:r>
              <w:rPr>
                <w:rFonts w:hint="eastAsia" w:ascii="Times New Roman" w:hAnsi="Times New Roman" w:eastAsia="宋体"/>
                <w:b w:val="0"/>
                <w:bCs w:val="0"/>
                <w:sz w:val="21"/>
                <w:szCs w:val="21"/>
              </w:rPr>
              <w:t>本项目的</w:t>
            </w:r>
            <w:r>
              <w:rPr>
                <w:rFonts w:hint="eastAsia" w:ascii="Times New Roman" w:hAnsi="Times New Roman" w:eastAsia="宋体"/>
                <w:b w:val="0"/>
                <w:bCs w:val="0"/>
                <w:sz w:val="21"/>
                <w:szCs w:val="21"/>
                <w:lang w:val="en-US" w:eastAsia="zh-CN"/>
              </w:rPr>
              <w:t>塑料制品生产线</w:t>
            </w:r>
            <w:r>
              <w:rPr>
                <w:rFonts w:ascii="Times New Roman" w:hAnsi="Times New Roman" w:eastAsia="宋体"/>
                <w:b w:val="0"/>
                <w:bCs w:val="0"/>
                <w:sz w:val="21"/>
                <w:szCs w:val="21"/>
              </w:rPr>
              <w:t>运转不正常</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生产线中</w:t>
            </w:r>
            <w:r>
              <w:rPr>
                <w:rFonts w:ascii="Times New Roman" w:hAnsi="Times New Roman" w:eastAsia="宋体"/>
                <w:b w:val="0"/>
                <w:bCs w:val="0"/>
                <w:sz w:val="21"/>
                <w:szCs w:val="21"/>
              </w:rPr>
              <w:t>任何一部分发生故障和非正常运行</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即会造成</w:t>
            </w:r>
            <w:r>
              <w:rPr>
                <w:rFonts w:hint="eastAsia" w:ascii="Times New Roman" w:hAnsi="Times New Roman" w:eastAsia="宋体"/>
                <w:b w:val="0"/>
                <w:bCs w:val="0"/>
                <w:sz w:val="21"/>
                <w:szCs w:val="21"/>
              </w:rPr>
              <w:t>生产线</w:t>
            </w:r>
            <w:r>
              <w:rPr>
                <w:rFonts w:ascii="Times New Roman" w:hAnsi="Times New Roman" w:eastAsia="宋体"/>
                <w:b w:val="0"/>
                <w:bCs w:val="0"/>
                <w:sz w:val="21"/>
                <w:szCs w:val="21"/>
              </w:rPr>
              <w:t>不能正常运行</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有可能会</w:t>
            </w:r>
            <w:r>
              <w:rPr>
                <w:rFonts w:ascii="Times New Roman" w:hAnsi="Times New Roman" w:eastAsia="宋体"/>
                <w:b w:val="0"/>
                <w:bCs w:val="0"/>
                <w:sz w:val="21"/>
                <w:szCs w:val="21"/>
              </w:rPr>
              <w:t>导致</w:t>
            </w:r>
            <w:r>
              <w:rPr>
                <w:rFonts w:hint="eastAsia" w:ascii="Times New Roman" w:hAnsi="Times New Roman" w:eastAsia="宋体"/>
                <w:b w:val="0"/>
                <w:bCs w:val="0"/>
                <w:sz w:val="21"/>
                <w:szCs w:val="21"/>
              </w:rPr>
              <w:t>废气</w:t>
            </w:r>
            <w:r>
              <w:rPr>
                <w:rFonts w:ascii="Times New Roman" w:hAnsi="Times New Roman" w:eastAsia="宋体"/>
                <w:b w:val="0"/>
                <w:bCs w:val="0"/>
                <w:sz w:val="21"/>
                <w:szCs w:val="21"/>
              </w:rPr>
              <w:t>超标排放。</w:t>
            </w:r>
          </w:p>
          <w:p w14:paraId="37A6F499">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ascii="Times New Roman" w:hAnsi="Times New Roman" w:eastAsia="宋体"/>
                <w:b w:val="0"/>
                <w:bCs w:val="0"/>
                <w:sz w:val="21"/>
                <w:szCs w:val="21"/>
              </w:rPr>
              <w:t>事故情况下</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废</w:t>
            </w:r>
            <w:r>
              <w:rPr>
                <w:rFonts w:hint="eastAsia" w:ascii="Times New Roman" w:hAnsi="Times New Roman" w:eastAsia="宋体"/>
                <w:b w:val="0"/>
                <w:bCs w:val="0"/>
                <w:sz w:val="21"/>
                <w:szCs w:val="21"/>
              </w:rPr>
              <w:t>气</w:t>
            </w:r>
            <w:r>
              <w:rPr>
                <w:rFonts w:ascii="Times New Roman" w:hAnsi="Times New Roman" w:eastAsia="宋体"/>
                <w:b w:val="0"/>
                <w:bCs w:val="0"/>
                <w:sz w:val="21"/>
                <w:szCs w:val="21"/>
              </w:rPr>
              <w:t>超标排放</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对</w:t>
            </w:r>
            <w:r>
              <w:rPr>
                <w:rFonts w:hint="eastAsia" w:ascii="Times New Roman" w:hAnsi="Times New Roman" w:eastAsia="宋体"/>
                <w:b w:val="0"/>
                <w:bCs w:val="0"/>
                <w:sz w:val="21"/>
                <w:szCs w:val="21"/>
              </w:rPr>
              <w:t>厂址周围空气质量影响较大。</w:t>
            </w:r>
            <w:r>
              <w:rPr>
                <w:rFonts w:ascii="Times New Roman" w:hAnsi="Times New Roman" w:eastAsia="宋体"/>
                <w:b w:val="0"/>
                <w:bCs w:val="0"/>
                <w:sz w:val="21"/>
                <w:szCs w:val="21"/>
              </w:rPr>
              <w:t>废气中的有害物质会对人体的呼吸系统和心血管系统造成损害</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引发各种疾病。其次</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废气排放超标会导致大气环境恶化</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加剧温室效应、酸雨等环境问题。此外</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废气排放还会对农作物和生态系统造成不良影响</w:t>
            </w:r>
            <w:r>
              <w:rPr>
                <w:rFonts w:hint="eastAsia" w:ascii="Times New Roman" w:hAnsi="Times New Roman" w:eastAsia="宋体"/>
                <w:b w:val="0"/>
                <w:bCs w:val="0"/>
                <w:sz w:val="21"/>
                <w:szCs w:val="21"/>
                <w:lang w:eastAsia="zh-CN"/>
              </w:rPr>
              <w:t>，</w:t>
            </w:r>
            <w:r>
              <w:rPr>
                <w:rFonts w:ascii="Times New Roman" w:hAnsi="Times New Roman" w:eastAsia="宋体"/>
                <w:b w:val="0"/>
                <w:bCs w:val="0"/>
                <w:sz w:val="21"/>
                <w:szCs w:val="21"/>
              </w:rPr>
              <w:t>影响人类的</w:t>
            </w:r>
            <w:r>
              <w:rPr>
                <w:rFonts w:hint="eastAsia" w:ascii="Times New Roman" w:hAnsi="Times New Roman" w:eastAsia="宋体"/>
                <w:b w:val="0"/>
                <w:bCs w:val="0"/>
                <w:sz w:val="21"/>
                <w:szCs w:val="21"/>
              </w:rPr>
              <w:t>正常</w:t>
            </w:r>
            <w:r>
              <w:rPr>
                <w:rFonts w:ascii="Times New Roman" w:hAnsi="Times New Roman" w:eastAsia="宋体"/>
                <w:b w:val="0"/>
                <w:bCs w:val="0"/>
                <w:sz w:val="21"/>
                <w:szCs w:val="21"/>
              </w:rPr>
              <w:t>生产和生活。</w:t>
            </w:r>
          </w:p>
          <w:p w14:paraId="5AF0893A">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rPr>
              <w:t>（2）</w:t>
            </w:r>
            <w:r>
              <w:rPr>
                <w:rFonts w:hint="eastAsia" w:ascii="Times New Roman" w:hAnsi="Times New Roman" w:eastAsia="宋体"/>
                <w:b w:val="0"/>
                <w:bCs w:val="0"/>
                <w:sz w:val="21"/>
                <w:szCs w:val="21"/>
                <w:lang w:val="en-US" w:eastAsia="zh-CN"/>
              </w:rPr>
              <w:t>原料、</w:t>
            </w:r>
            <w:r>
              <w:rPr>
                <w:rFonts w:hint="eastAsia" w:ascii="Times New Roman" w:hAnsi="Times New Roman" w:eastAsia="宋体"/>
                <w:b w:val="0"/>
                <w:bCs w:val="0"/>
                <w:sz w:val="21"/>
                <w:szCs w:val="21"/>
              </w:rPr>
              <w:t>危险废物</w:t>
            </w:r>
            <w:r>
              <w:rPr>
                <w:rFonts w:hint="eastAsia" w:ascii="Times New Roman" w:hAnsi="Times New Roman" w:eastAsia="宋体"/>
                <w:b w:val="0"/>
                <w:bCs w:val="0"/>
                <w:sz w:val="21"/>
                <w:szCs w:val="21"/>
                <w:lang w:eastAsia="zh-CN"/>
              </w:rPr>
              <w:t>泄漏</w:t>
            </w:r>
            <w:r>
              <w:rPr>
                <w:rFonts w:hint="eastAsia" w:ascii="Times New Roman" w:hAnsi="Times New Roman" w:eastAsia="宋体"/>
                <w:b w:val="0"/>
                <w:bCs w:val="0"/>
                <w:sz w:val="21"/>
                <w:szCs w:val="21"/>
              </w:rPr>
              <w:t>事故分析</w:t>
            </w:r>
          </w:p>
          <w:p w14:paraId="39A705E3">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当</w:t>
            </w:r>
            <w:r>
              <w:rPr>
                <w:rFonts w:hint="eastAsia" w:ascii="Times New Roman" w:hAnsi="Times New Roman" w:eastAsia="宋体"/>
                <w:b w:val="0"/>
                <w:bCs w:val="0"/>
                <w:sz w:val="21"/>
                <w:szCs w:val="21"/>
                <w:lang w:val="en-US" w:eastAsia="zh-CN"/>
              </w:rPr>
              <w:t>矿物</w:t>
            </w:r>
            <w:r>
              <w:rPr>
                <w:rFonts w:hint="eastAsia" w:ascii="Times New Roman" w:hAnsi="Times New Roman" w:eastAsia="宋体"/>
                <w:b w:val="0"/>
                <w:bCs w:val="0"/>
                <w:sz w:val="21"/>
                <w:szCs w:val="21"/>
              </w:rPr>
              <w:t>油泄漏时</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产生的非甲烷总烃等有机物对环境空气质量造成不利影响。若泄漏发生火灾事故</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燃烧烟气中燃烧分解产物（CO、烟尘等）进入大气造成对环境空气的影响。此外</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危险废物泄漏下渗到土壤和地下水</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引起土壤和地下水污染。同时</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使土壤层中吸附大量的有机物烃类物质</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在土壤团粒中形成膜网结构</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环境中的空气难以进入土壤颗粒中</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从而造成植物生物的死亡。</w:t>
            </w:r>
          </w:p>
          <w:p w14:paraId="20CD874D">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（3）废气处理设备故障事故分析</w:t>
            </w:r>
          </w:p>
          <w:p w14:paraId="1B66B843">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若废气处理系统在运行过程中出现机械故障</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滞留在生产车间及处置系统可能会散发出有害气体</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危害工作人员健康</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此时应及时停止设备的运作生产</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对设备进行维修。</w:t>
            </w:r>
          </w:p>
          <w:p w14:paraId="65B644CD">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4</w:t>
            </w:r>
            <w:r>
              <w:rPr>
                <w:rFonts w:hint="eastAsia" w:ascii="Times New Roman" w:hAnsi="Times New Roman" w:eastAsia="宋体"/>
                <w:b w:val="0"/>
                <w:bCs w:val="0"/>
                <w:sz w:val="21"/>
                <w:szCs w:val="21"/>
              </w:rPr>
              <w:t>）火灾事故分析</w:t>
            </w:r>
          </w:p>
          <w:p w14:paraId="2E69756F">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本项目有少量矿物油等易燃物品储存于厂区内，如果存储不当或操作不当会导致火灾事故，火灾事故产生的次生环境影响主要是火灾烟气对大气环境影响、以及洗消废水对水环境影响。</w:t>
            </w:r>
          </w:p>
          <w:p w14:paraId="4E64856D">
            <w:pPr>
              <w:keepNext w:val="0"/>
              <w:keepLines w:val="0"/>
              <w:pageBreakBefore w:val="0"/>
              <w:widowControl/>
              <w:kinsoku/>
              <w:wordWrap/>
              <w:overflowPunct/>
              <w:topLinePunct w:val="0"/>
              <w:autoSpaceDE/>
              <w:autoSpaceDN/>
              <w:bidi w:val="0"/>
              <w:adjustRightInd/>
              <w:snapToGrid w:val="0"/>
              <w:spacing w:line="360" w:lineRule="auto"/>
              <w:ind w:left="0" w:leftChars="0" w:firstLine="0" w:firstLineChars="0"/>
              <w:jc w:val="left"/>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7.2</w:t>
            </w:r>
            <w:r>
              <w:rPr>
                <w:rFonts w:ascii="Times New Roman" w:hAnsi="Times New Roman" w:eastAsia="宋体"/>
                <w:b w:val="0"/>
                <w:bCs w:val="0"/>
                <w:sz w:val="21"/>
                <w:szCs w:val="21"/>
              </w:rPr>
              <w:t>环境风险防范措施及应急要求</w:t>
            </w:r>
          </w:p>
          <w:p w14:paraId="28420295">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1</w:t>
            </w:r>
            <w:r>
              <w:rPr>
                <w:rFonts w:hint="eastAsia" w:ascii="Times New Roman" w:hAnsi="Times New Roman" w:eastAsia="宋体"/>
                <w:b w:val="0"/>
                <w:bCs w:val="0"/>
                <w:sz w:val="21"/>
                <w:szCs w:val="21"/>
              </w:rPr>
              <w:t>）工程运行事故防范措施</w:t>
            </w:r>
          </w:p>
          <w:p w14:paraId="1E4A2FEC">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lang w:eastAsia="zh-CN"/>
              </w:rPr>
            </w:pPr>
            <w:r>
              <w:rPr>
                <w:rFonts w:hint="eastAsia" w:ascii="Times New Roman" w:hAnsi="Times New Roman" w:eastAsia="宋体"/>
                <w:b w:val="0"/>
                <w:bCs w:val="0"/>
                <w:sz w:val="21"/>
                <w:szCs w:val="21"/>
              </w:rPr>
              <w:t>制定完善的操作规程，建立健全持证上岗和岗前培训制度</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定期巡查、检修废气、废水处理设施，定期维护、监测</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加强设备维修保养，所有机泵、管道等连接部位都应连接牢固，做到严密、不渗、不漏。预防</w:t>
            </w:r>
            <w:r>
              <w:rPr>
                <w:rFonts w:hint="eastAsia" w:ascii="Times New Roman" w:hAnsi="Times New Roman" w:eastAsia="宋体"/>
                <w:b w:val="0"/>
                <w:bCs w:val="0"/>
                <w:sz w:val="21"/>
                <w:szCs w:val="21"/>
                <w:lang w:val="en-US" w:eastAsia="zh-CN"/>
              </w:rPr>
              <w:t>矿物油、收集到的废气</w:t>
            </w:r>
            <w:r>
              <w:rPr>
                <w:rFonts w:hint="eastAsia" w:ascii="Times New Roman" w:hAnsi="Times New Roman" w:eastAsia="宋体"/>
                <w:b w:val="0"/>
                <w:bCs w:val="0"/>
                <w:sz w:val="21"/>
                <w:szCs w:val="21"/>
              </w:rPr>
              <w:t>意外</w:t>
            </w:r>
            <w:r>
              <w:rPr>
                <w:rFonts w:hint="eastAsia" w:ascii="Times New Roman" w:hAnsi="Times New Roman" w:eastAsia="宋体"/>
                <w:b w:val="0"/>
                <w:bCs w:val="0"/>
                <w:sz w:val="21"/>
                <w:szCs w:val="21"/>
                <w:lang w:eastAsia="zh-CN"/>
              </w:rPr>
              <w:t>泄漏</w:t>
            </w:r>
            <w:r>
              <w:rPr>
                <w:rFonts w:hint="eastAsia" w:ascii="Times New Roman" w:hAnsi="Times New Roman" w:eastAsia="宋体"/>
                <w:b w:val="0"/>
                <w:bCs w:val="0"/>
                <w:sz w:val="21"/>
                <w:szCs w:val="21"/>
              </w:rPr>
              <w:t>事故</w:t>
            </w:r>
            <w:r>
              <w:rPr>
                <w:rFonts w:hint="eastAsia" w:ascii="Times New Roman" w:hAnsi="Times New Roman" w:eastAsia="宋体"/>
                <w:b w:val="0"/>
                <w:bCs w:val="0"/>
                <w:sz w:val="21"/>
                <w:szCs w:val="21"/>
                <w:lang w:eastAsia="zh-CN"/>
              </w:rPr>
              <w:t>。</w:t>
            </w:r>
          </w:p>
          <w:p w14:paraId="32AEBA76">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2</w:t>
            </w:r>
            <w:r>
              <w:rPr>
                <w:rFonts w:hint="eastAsia" w:ascii="Times New Roman" w:hAnsi="Times New Roman" w:eastAsia="宋体"/>
                <w:b w:val="0"/>
                <w:bCs w:val="0"/>
                <w:sz w:val="21"/>
                <w:szCs w:val="21"/>
              </w:rPr>
              <w:t>）泄漏事故防范措施</w:t>
            </w:r>
          </w:p>
          <w:p w14:paraId="6DD6D67E">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加强对原辅材料、危险废物等的运输、贮存过程的管理</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降低事故发生的概率；</w:t>
            </w:r>
            <w:r>
              <w:rPr>
                <w:rFonts w:hint="eastAsia" w:ascii="Times New Roman" w:hAnsi="Times New Roman" w:eastAsia="宋体"/>
                <w:b w:val="0"/>
                <w:bCs w:val="0"/>
                <w:sz w:val="21"/>
                <w:szCs w:val="21"/>
                <w:lang w:val="en-US" w:eastAsia="zh-CN"/>
              </w:rPr>
              <w:t>危险废物</w:t>
            </w:r>
            <w:r>
              <w:rPr>
                <w:rFonts w:hint="eastAsia" w:ascii="Times New Roman" w:hAnsi="Times New Roman" w:eastAsia="宋体"/>
                <w:b w:val="0"/>
                <w:bCs w:val="0"/>
                <w:sz w:val="21"/>
                <w:szCs w:val="21"/>
              </w:rPr>
              <w:t>出入</w:t>
            </w:r>
            <w:r>
              <w:rPr>
                <w:rFonts w:hint="eastAsia" w:ascii="Times New Roman" w:hAnsi="Times New Roman" w:eastAsia="宋体"/>
                <w:b w:val="0"/>
                <w:bCs w:val="0"/>
                <w:sz w:val="21"/>
                <w:szCs w:val="21"/>
                <w:lang w:val="en-US" w:eastAsia="zh-CN"/>
              </w:rPr>
              <w:t>危废间</w:t>
            </w:r>
            <w:r>
              <w:rPr>
                <w:rFonts w:hint="eastAsia" w:ascii="Times New Roman" w:hAnsi="Times New Roman" w:eastAsia="宋体"/>
                <w:b w:val="0"/>
                <w:bCs w:val="0"/>
                <w:sz w:val="21"/>
                <w:szCs w:val="21"/>
              </w:rPr>
              <w:t>时做好登记管理</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员工在</w:t>
            </w:r>
            <w:r>
              <w:rPr>
                <w:rFonts w:hint="eastAsia" w:ascii="Times New Roman" w:hAnsi="Times New Roman" w:eastAsia="宋体"/>
                <w:b w:val="0"/>
                <w:bCs w:val="0"/>
                <w:sz w:val="21"/>
                <w:szCs w:val="21"/>
                <w:lang w:val="en-US" w:eastAsia="zh-CN"/>
              </w:rPr>
              <w:t>操作</w:t>
            </w:r>
            <w:r>
              <w:rPr>
                <w:rFonts w:hint="eastAsia" w:ascii="Times New Roman" w:hAnsi="Times New Roman" w:eastAsia="宋体"/>
                <w:b w:val="0"/>
                <w:bCs w:val="0"/>
                <w:sz w:val="21"/>
                <w:szCs w:val="21"/>
              </w:rPr>
              <w:t>过程中应按照相关规范操作和使用规范进行操作</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防止</w:t>
            </w:r>
            <w:r>
              <w:rPr>
                <w:rFonts w:hint="eastAsia" w:ascii="Times New Roman" w:hAnsi="Times New Roman" w:eastAsia="宋体"/>
                <w:b w:val="0"/>
                <w:bCs w:val="0"/>
                <w:sz w:val="21"/>
                <w:szCs w:val="21"/>
                <w:lang w:val="en-US" w:eastAsia="zh-CN"/>
              </w:rPr>
              <w:t>操作</w:t>
            </w:r>
            <w:r>
              <w:rPr>
                <w:rFonts w:hint="eastAsia" w:ascii="Times New Roman" w:hAnsi="Times New Roman" w:eastAsia="宋体"/>
                <w:b w:val="0"/>
                <w:bCs w:val="0"/>
                <w:sz w:val="21"/>
                <w:szCs w:val="21"/>
              </w:rPr>
              <w:t>过程中原辅材料发生泄漏。危废间的设置须满足《危险废物贮存污染控制标准》（GB18597-2023）的要求</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落实防风防雨防晒和防渗措施</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危废的存放设置明显标志</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并由专人管理</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出入库应当进行核查登记</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并定期检查</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不过多储存危废。若发生少量泄漏</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用砂土混合后收集若发生大量泄漏</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收集的泄漏物交由有资质单位处置。</w:t>
            </w:r>
          </w:p>
          <w:p w14:paraId="0BDE247D">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（3）废气治理设施事故防范措施</w:t>
            </w:r>
          </w:p>
          <w:p w14:paraId="42CCE989">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各生产环节严格执行生产管理的有关规定</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加强设备的检修及保养</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提高管理人员素质</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并设置机器事故应急措施及管理制度</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确保设备长期处于良好状态</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使设备达到预期的处理效果；现场作业人员定时记录废气处理状况</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如对废气处理设施的风机等设备进行点检工作</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并派专人巡视</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遇不良工作状况立即停止车间相关作业</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维修正常后再开始作业</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杜绝事故性废气直排</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并及时呈报主管</w:t>
            </w:r>
            <w:r>
              <w:rPr>
                <w:rFonts w:hint="eastAsia" w:ascii="Times New Roman" w:hAnsi="Times New Roman" w:eastAsia="宋体"/>
                <w:b w:val="0"/>
                <w:bCs w:val="0"/>
                <w:sz w:val="21"/>
                <w:szCs w:val="21"/>
                <w:lang w:val="en-US" w:eastAsia="zh-CN"/>
              </w:rPr>
              <w:t>人员</w:t>
            </w:r>
            <w:r>
              <w:rPr>
                <w:rFonts w:hint="eastAsia" w:ascii="Times New Roman" w:hAnsi="Times New Roman" w:eastAsia="宋体"/>
                <w:b w:val="0"/>
                <w:bCs w:val="0"/>
                <w:sz w:val="21"/>
                <w:szCs w:val="21"/>
              </w:rPr>
              <w:t>；治理设施等发生故障时</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应及时维修</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如情况严重</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应停止生产直至系统运作正常；定期对废气排放口的污染物浓度进行监测</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加强环境保护管理。</w:t>
            </w:r>
          </w:p>
          <w:p w14:paraId="41320841">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rPr>
              <w:t>（</w:t>
            </w:r>
            <w:r>
              <w:rPr>
                <w:rFonts w:hint="eastAsia" w:ascii="Times New Roman" w:hAnsi="Times New Roman" w:eastAsia="宋体"/>
                <w:b w:val="0"/>
                <w:bCs w:val="0"/>
                <w:sz w:val="21"/>
                <w:szCs w:val="21"/>
                <w:lang w:val="en-US" w:eastAsia="zh-CN"/>
              </w:rPr>
              <w:t>4</w:t>
            </w:r>
            <w:r>
              <w:rPr>
                <w:rFonts w:hint="eastAsia" w:ascii="Times New Roman" w:hAnsi="Times New Roman" w:eastAsia="宋体"/>
                <w:b w:val="0"/>
                <w:bCs w:val="0"/>
                <w:sz w:val="21"/>
                <w:szCs w:val="21"/>
              </w:rPr>
              <w:t>）火灾事故防范措施</w:t>
            </w:r>
          </w:p>
          <w:p w14:paraId="478091DA">
            <w:pPr>
              <w:keepNext w:val="0"/>
              <w:keepLines w:val="0"/>
              <w:pageBreakBefore w:val="0"/>
              <w:kinsoku/>
              <w:wordWrap/>
              <w:overflowPunct/>
              <w:topLinePunct w:val="0"/>
              <w:autoSpaceDE/>
              <w:autoSpaceDN/>
              <w:bidi w:val="0"/>
              <w:adjustRightInd/>
              <w:snapToGrid w:val="0"/>
              <w:spacing w:line="360" w:lineRule="auto"/>
              <w:ind w:firstLine="480"/>
              <w:textAlignment w:val="auto"/>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车间</w:t>
            </w:r>
            <w:r>
              <w:rPr>
                <w:rFonts w:hint="eastAsia" w:ascii="Times New Roman" w:hAnsi="Times New Roman" w:eastAsia="宋体"/>
                <w:b w:val="0"/>
                <w:bCs w:val="0"/>
                <w:sz w:val="21"/>
                <w:szCs w:val="21"/>
              </w:rPr>
              <w:t>应按规范配置灭火器材和消防装备；制定巡查制度</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重点巡查易燃原辅材料的使用区域</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如</w:t>
            </w:r>
            <w:r>
              <w:rPr>
                <w:rFonts w:hint="eastAsia" w:ascii="Times New Roman" w:hAnsi="Times New Roman" w:eastAsia="宋体"/>
                <w:b w:val="0"/>
                <w:bCs w:val="0"/>
                <w:sz w:val="21"/>
                <w:szCs w:val="21"/>
                <w:lang w:val="en-US" w:eastAsia="zh-CN"/>
              </w:rPr>
              <w:t>矿物</w:t>
            </w:r>
            <w:r>
              <w:rPr>
                <w:rFonts w:hint="eastAsia" w:ascii="Times New Roman" w:hAnsi="Times New Roman" w:eastAsia="宋体"/>
                <w:b w:val="0"/>
                <w:bCs w:val="0"/>
                <w:sz w:val="21"/>
                <w:szCs w:val="21"/>
              </w:rPr>
              <w:t>油</w:t>
            </w:r>
            <w:r>
              <w:rPr>
                <w:rFonts w:hint="eastAsia" w:ascii="Times New Roman" w:hAnsi="Times New Roman" w:eastAsia="宋体"/>
                <w:b w:val="0"/>
                <w:bCs w:val="0"/>
                <w:sz w:val="21"/>
                <w:szCs w:val="21"/>
                <w:lang w:val="en-US" w:eastAsia="zh-CN"/>
              </w:rPr>
              <w:t>桶</w:t>
            </w:r>
            <w:r>
              <w:rPr>
                <w:rFonts w:hint="eastAsia" w:ascii="Times New Roman" w:hAnsi="Times New Roman" w:eastAsia="宋体"/>
                <w:b w:val="0"/>
                <w:bCs w:val="0"/>
                <w:sz w:val="21"/>
                <w:szCs w:val="21"/>
              </w:rPr>
              <w:t>等；加强火源管理</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杜绝各种火种</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明火发生源为火柴、打火机等</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严禁闲杂人员入内；工作人员要熟练掌握操作技术和防火安全管理规定。厂内发生火灾时</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采取先控制后消灭的消防措施。统一指挥、积极组织人员进行灭火</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堵截火势、防止蔓延；扑救人员应注意占领上风或侧风阵地。当发生火灾事故时</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采用沙袋将事故废水堵截在</w:t>
            </w:r>
            <w:r>
              <w:rPr>
                <w:rFonts w:hint="eastAsia" w:ascii="Times New Roman" w:hAnsi="Times New Roman" w:eastAsia="宋体"/>
                <w:b w:val="0"/>
                <w:bCs w:val="0"/>
                <w:sz w:val="21"/>
                <w:szCs w:val="21"/>
                <w:lang w:val="en-US" w:eastAsia="zh-CN"/>
              </w:rPr>
              <w:t>车间</w:t>
            </w:r>
            <w:r>
              <w:rPr>
                <w:rFonts w:hint="eastAsia" w:ascii="Times New Roman" w:hAnsi="Times New Roman" w:eastAsia="宋体"/>
                <w:b w:val="0"/>
                <w:bCs w:val="0"/>
                <w:sz w:val="21"/>
                <w:szCs w:val="21"/>
              </w:rPr>
              <w:t>内暂存</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防止发生事故时事故废水污染地下水</w:t>
            </w:r>
            <w:r>
              <w:rPr>
                <w:rFonts w:hint="eastAsia" w:ascii="Times New Roman" w:hAnsi="Times New Roman" w:eastAsia="宋体"/>
                <w:b w:val="0"/>
                <w:bCs w:val="0"/>
                <w:sz w:val="21"/>
                <w:szCs w:val="21"/>
                <w:lang w:eastAsia="zh-CN"/>
              </w:rPr>
              <w:t>，</w:t>
            </w:r>
            <w:r>
              <w:rPr>
                <w:rFonts w:hint="eastAsia" w:ascii="Times New Roman" w:hAnsi="Times New Roman" w:eastAsia="宋体"/>
                <w:b w:val="0"/>
                <w:bCs w:val="0"/>
                <w:sz w:val="21"/>
                <w:szCs w:val="21"/>
              </w:rPr>
              <w:t>同时危废暂存间应做好防腐、防渗措施。</w:t>
            </w:r>
          </w:p>
          <w:p w14:paraId="6DDD98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八、项目改建前后“三本账”一览表</w:t>
            </w:r>
          </w:p>
          <w:p w14:paraId="14554CDA">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本次改建前后污染物变化“三本账”见下表。</w:t>
            </w:r>
          </w:p>
          <w:p w14:paraId="1DACB2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表4-13   改建前后项目污染物“三本账”表    单位:t/a</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324"/>
              <w:gridCol w:w="1214"/>
              <w:gridCol w:w="1215"/>
              <w:gridCol w:w="1219"/>
              <w:gridCol w:w="1220"/>
              <w:gridCol w:w="1221"/>
            </w:tblGrid>
            <w:tr w14:paraId="519C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vAlign w:val="center"/>
                </w:tcPr>
                <w:p w14:paraId="36E326B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类别</w:t>
                  </w:r>
                </w:p>
              </w:tc>
              <w:tc>
                <w:tcPr>
                  <w:tcW w:w="1335" w:type="dxa"/>
                  <w:vAlign w:val="center"/>
                </w:tcPr>
                <w:p w14:paraId="5DFCD70E">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污染物</w:t>
                  </w:r>
                </w:p>
              </w:tc>
              <w:tc>
                <w:tcPr>
                  <w:tcW w:w="1221" w:type="dxa"/>
                  <w:vAlign w:val="center"/>
                </w:tcPr>
                <w:p w14:paraId="2234558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改建前</w:t>
                  </w:r>
                </w:p>
                <w:p w14:paraId="7FB931B9">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排放量</w:t>
                  </w:r>
                </w:p>
              </w:tc>
              <w:tc>
                <w:tcPr>
                  <w:tcW w:w="1221" w:type="dxa"/>
                  <w:vAlign w:val="center"/>
                </w:tcPr>
                <w:p w14:paraId="02B951C8">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“以新带老”削减量</w:t>
                  </w:r>
                </w:p>
              </w:tc>
              <w:tc>
                <w:tcPr>
                  <w:tcW w:w="1222" w:type="dxa"/>
                  <w:vAlign w:val="center"/>
                </w:tcPr>
                <w:p w14:paraId="0C454A9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改建工程排放量</w:t>
                  </w:r>
                </w:p>
              </w:tc>
              <w:tc>
                <w:tcPr>
                  <w:tcW w:w="1223" w:type="dxa"/>
                  <w:vAlign w:val="center"/>
                </w:tcPr>
                <w:p w14:paraId="1AF3A09F">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改建后</w:t>
                  </w:r>
                </w:p>
                <w:p w14:paraId="7C54DD8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排放量</w:t>
                  </w:r>
                </w:p>
              </w:tc>
              <w:tc>
                <w:tcPr>
                  <w:tcW w:w="1223" w:type="dxa"/>
                  <w:vAlign w:val="center"/>
                </w:tcPr>
                <w:p w14:paraId="2565E2D7">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增减量</w:t>
                  </w:r>
                </w:p>
                <w:p w14:paraId="45AB2BDF">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变化</w:t>
                  </w:r>
                </w:p>
              </w:tc>
            </w:tr>
            <w:tr w14:paraId="7C08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vAlign w:val="center"/>
                </w:tcPr>
                <w:p w14:paraId="632302F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废气</w:t>
                  </w:r>
                </w:p>
              </w:tc>
              <w:tc>
                <w:tcPr>
                  <w:tcW w:w="1335" w:type="dxa"/>
                  <w:vAlign w:val="center"/>
                </w:tcPr>
                <w:p w14:paraId="2CE34FBA">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非甲烷总烃</w:t>
                  </w:r>
                </w:p>
              </w:tc>
              <w:tc>
                <w:tcPr>
                  <w:tcW w:w="1221" w:type="dxa"/>
                  <w:vAlign w:val="center"/>
                </w:tcPr>
                <w:p w14:paraId="1748E933">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color w:val="auto"/>
                      <w:spacing w:val="0"/>
                      <w:position w:val="0"/>
                      <w:sz w:val="21"/>
                      <w:szCs w:val="21"/>
                      <w:lang w:val="en-US" w:eastAsia="zh-CN"/>
                    </w:rPr>
                    <w:t>6.5</w:t>
                  </w:r>
                </w:p>
              </w:tc>
              <w:tc>
                <w:tcPr>
                  <w:tcW w:w="1221" w:type="dxa"/>
                  <w:vAlign w:val="center"/>
                </w:tcPr>
                <w:p w14:paraId="3D31D66D">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4.8</w:t>
                  </w:r>
                </w:p>
              </w:tc>
              <w:tc>
                <w:tcPr>
                  <w:tcW w:w="1222" w:type="dxa"/>
                  <w:vAlign w:val="center"/>
                </w:tcPr>
                <w:p w14:paraId="4B5FEE0C">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2.16</w:t>
                  </w:r>
                </w:p>
              </w:tc>
              <w:tc>
                <w:tcPr>
                  <w:tcW w:w="1223" w:type="dxa"/>
                  <w:vAlign w:val="center"/>
                </w:tcPr>
                <w:p w14:paraId="2743E964">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3.86</w:t>
                  </w:r>
                </w:p>
              </w:tc>
              <w:tc>
                <w:tcPr>
                  <w:tcW w:w="1223" w:type="dxa"/>
                  <w:vAlign w:val="center"/>
                </w:tcPr>
                <w:p w14:paraId="1B244A3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-2.64</w:t>
                  </w:r>
                </w:p>
              </w:tc>
            </w:tr>
            <w:tr w14:paraId="3CFD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09" w:type="dxa"/>
                  <w:vMerge w:val="continue"/>
                  <w:vAlign w:val="center"/>
                </w:tcPr>
                <w:p w14:paraId="699A9793">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rPr>
                  </w:pPr>
                </w:p>
              </w:tc>
              <w:tc>
                <w:tcPr>
                  <w:tcW w:w="1335" w:type="dxa"/>
                  <w:vAlign w:val="center"/>
                </w:tcPr>
                <w:p w14:paraId="2C47347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颗粒物</w:t>
                  </w:r>
                </w:p>
              </w:tc>
              <w:tc>
                <w:tcPr>
                  <w:tcW w:w="1221" w:type="dxa"/>
                  <w:vAlign w:val="center"/>
                </w:tcPr>
                <w:p w14:paraId="4E8BA153">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78289D4F">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3551C3D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0.27</w:t>
                  </w:r>
                </w:p>
              </w:tc>
              <w:tc>
                <w:tcPr>
                  <w:tcW w:w="1223" w:type="dxa"/>
                  <w:vAlign w:val="center"/>
                </w:tcPr>
                <w:p w14:paraId="35E3CEB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0.27</w:t>
                  </w:r>
                </w:p>
              </w:tc>
              <w:tc>
                <w:tcPr>
                  <w:tcW w:w="1223" w:type="dxa"/>
                  <w:vAlign w:val="center"/>
                </w:tcPr>
                <w:p w14:paraId="1EF6C90D">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+0.27</w:t>
                  </w:r>
                </w:p>
              </w:tc>
            </w:tr>
            <w:tr w14:paraId="1A97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09" w:type="dxa"/>
                  <w:vMerge w:val="continue"/>
                  <w:vAlign w:val="center"/>
                </w:tcPr>
                <w:p w14:paraId="1F65F37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rPr>
                  </w:pPr>
                </w:p>
              </w:tc>
              <w:tc>
                <w:tcPr>
                  <w:tcW w:w="1335" w:type="dxa"/>
                  <w:vAlign w:val="center"/>
                </w:tcPr>
                <w:p w14:paraId="56537FB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氯化氢</w:t>
                  </w:r>
                </w:p>
              </w:tc>
              <w:tc>
                <w:tcPr>
                  <w:tcW w:w="1221" w:type="dxa"/>
                  <w:vAlign w:val="center"/>
                </w:tcPr>
                <w:p w14:paraId="2D909EAD">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3ED2D5C0">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35AC2F44">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0.00235</w:t>
                  </w:r>
                </w:p>
              </w:tc>
              <w:tc>
                <w:tcPr>
                  <w:tcW w:w="1223" w:type="dxa"/>
                  <w:vAlign w:val="center"/>
                </w:tcPr>
                <w:p w14:paraId="13EF5884">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0.00235</w:t>
                  </w:r>
                </w:p>
              </w:tc>
              <w:tc>
                <w:tcPr>
                  <w:tcW w:w="1223" w:type="dxa"/>
                  <w:vAlign w:val="center"/>
                </w:tcPr>
                <w:p w14:paraId="065DC00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+0.00235</w:t>
                  </w:r>
                </w:p>
              </w:tc>
            </w:tr>
            <w:tr w14:paraId="1B46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09" w:type="dxa"/>
                  <w:vAlign w:val="center"/>
                </w:tcPr>
                <w:p w14:paraId="618452F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废水</w:t>
                  </w:r>
                </w:p>
              </w:tc>
              <w:tc>
                <w:tcPr>
                  <w:tcW w:w="1335" w:type="dxa"/>
                  <w:vAlign w:val="center"/>
                </w:tcPr>
                <w:p w14:paraId="6926228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排水量</w:t>
                  </w:r>
                </w:p>
              </w:tc>
              <w:tc>
                <w:tcPr>
                  <w:tcW w:w="1221" w:type="dxa"/>
                  <w:vAlign w:val="center"/>
                </w:tcPr>
                <w:p w14:paraId="597AAB0C">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color w:val="auto"/>
                      <w:spacing w:val="0"/>
                      <w:position w:val="0"/>
                      <w:sz w:val="21"/>
                      <w:szCs w:val="21"/>
                      <w:lang w:val="en-US" w:eastAsia="zh-CN"/>
                    </w:rPr>
                    <w:t>425</w:t>
                  </w:r>
                </w:p>
              </w:tc>
              <w:tc>
                <w:tcPr>
                  <w:tcW w:w="1221" w:type="dxa"/>
                  <w:vAlign w:val="center"/>
                </w:tcPr>
                <w:p w14:paraId="74AE54BC">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37AFA62C">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270</w:t>
                  </w:r>
                </w:p>
              </w:tc>
              <w:tc>
                <w:tcPr>
                  <w:tcW w:w="1223" w:type="dxa"/>
                  <w:vAlign w:val="center"/>
                </w:tcPr>
                <w:p w14:paraId="58B2ECB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695</w:t>
                  </w:r>
                </w:p>
              </w:tc>
              <w:tc>
                <w:tcPr>
                  <w:tcW w:w="1223" w:type="dxa"/>
                  <w:vAlign w:val="center"/>
                </w:tcPr>
                <w:p w14:paraId="0E578EA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+270</w:t>
                  </w:r>
                </w:p>
              </w:tc>
            </w:tr>
            <w:tr w14:paraId="7EB6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09" w:type="dxa"/>
                  <w:vAlign w:val="center"/>
                </w:tcPr>
                <w:p w14:paraId="4B0CF96F">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生活垃圾</w:t>
                  </w:r>
                </w:p>
              </w:tc>
              <w:tc>
                <w:tcPr>
                  <w:tcW w:w="1335" w:type="dxa"/>
                  <w:vAlign w:val="center"/>
                </w:tcPr>
                <w:p w14:paraId="1B29700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生活垃圾</w:t>
                  </w:r>
                </w:p>
              </w:tc>
              <w:tc>
                <w:tcPr>
                  <w:tcW w:w="1221" w:type="dxa"/>
                  <w:vAlign w:val="center"/>
                </w:tcPr>
                <w:p w14:paraId="2924337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color w:val="auto"/>
                      <w:spacing w:val="0"/>
                      <w:position w:val="0"/>
                      <w:sz w:val="21"/>
                      <w:szCs w:val="21"/>
                      <w:lang w:val="en-US" w:eastAsia="zh-CN"/>
                    </w:rPr>
                    <w:t>2.5</w:t>
                  </w:r>
                </w:p>
              </w:tc>
              <w:tc>
                <w:tcPr>
                  <w:tcW w:w="1221" w:type="dxa"/>
                  <w:vAlign w:val="center"/>
                </w:tcPr>
                <w:p w14:paraId="1A9EC971">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5DC4C73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1.8</w:t>
                  </w:r>
                </w:p>
              </w:tc>
              <w:tc>
                <w:tcPr>
                  <w:tcW w:w="1223" w:type="dxa"/>
                  <w:vAlign w:val="center"/>
                </w:tcPr>
                <w:p w14:paraId="46109E98">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4.3</w:t>
                  </w:r>
                </w:p>
              </w:tc>
              <w:tc>
                <w:tcPr>
                  <w:tcW w:w="1223" w:type="dxa"/>
                  <w:vAlign w:val="center"/>
                </w:tcPr>
                <w:p w14:paraId="1924CAE3">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+1.8</w:t>
                  </w:r>
                </w:p>
              </w:tc>
            </w:tr>
            <w:tr w14:paraId="3E2B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vAlign w:val="center"/>
                </w:tcPr>
                <w:p w14:paraId="356238D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一般工业固废</w:t>
                  </w:r>
                </w:p>
              </w:tc>
              <w:tc>
                <w:tcPr>
                  <w:tcW w:w="1335" w:type="dxa"/>
                  <w:vAlign w:val="center"/>
                </w:tcPr>
                <w:p w14:paraId="6AB5E64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废包装</w:t>
                  </w:r>
                </w:p>
              </w:tc>
              <w:tc>
                <w:tcPr>
                  <w:tcW w:w="1221" w:type="dxa"/>
                  <w:vAlign w:val="center"/>
                </w:tcPr>
                <w:p w14:paraId="4101F528">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204C0A84">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4C783778">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0.01</w:t>
                  </w:r>
                </w:p>
              </w:tc>
              <w:tc>
                <w:tcPr>
                  <w:tcW w:w="1223" w:type="dxa"/>
                  <w:vAlign w:val="center"/>
                </w:tcPr>
                <w:p w14:paraId="3A87ECBE">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0.01</w:t>
                  </w:r>
                </w:p>
              </w:tc>
              <w:tc>
                <w:tcPr>
                  <w:tcW w:w="1223" w:type="dxa"/>
                  <w:vAlign w:val="center"/>
                </w:tcPr>
                <w:p w14:paraId="666B3802">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+0.01</w:t>
                  </w:r>
                </w:p>
              </w:tc>
            </w:tr>
            <w:tr w14:paraId="473A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vAlign w:val="center"/>
                </w:tcPr>
                <w:p w14:paraId="36628D9A">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危险废物</w:t>
                  </w:r>
                </w:p>
              </w:tc>
              <w:tc>
                <w:tcPr>
                  <w:tcW w:w="1335" w:type="dxa"/>
                  <w:vAlign w:val="center"/>
                </w:tcPr>
                <w:p w14:paraId="32EBBEA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废矿物油</w:t>
                  </w:r>
                </w:p>
              </w:tc>
              <w:tc>
                <w:tcPr>
                  <w:tcW w:w="1221" w:type="dxa"/>
                  <w:vAlign w:val="center"/>
                </w:tcPr>
                <w:p w14:paraId="27264C1D">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11530DD2">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4E472B33">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w:t>
                  </w:r>
                </w:p>
              </w:tc>
              <w:tc>
                <w:tcPr>
                  <w:tcW w:w="1223" w:type="dxa"/>
                  <w:vAlign w:val="center"/>
                </w:tcPr>
                <w:p w14:paraId="62FDAE11">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w:t>
                  </w:r>
                </w:p>
              </w:tc>
              <w:tc>
                <w:tcPr>
                  <w:tcW w:w="1223" w:type="dxa"/>
                  <w:vAlign w:val="center"/>
                </w:tcPr>
                <w:p w14:paraId="448D1DB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w:t>
                  </w:r>
                </w:p>
              </w:tc>
            </w:tr>
            <w:tr w14:paraId="016C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continue"/>
                  <w:vAlign w:val="center"/>
                </w:tcPr>
                <w:p w14:paraId="42721BAE">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rPr>
                  </w:pPr>
                </w:p>
              </w:tc>
              <w:tc>
                <w:tcPr>
                  <w:tcW w:w="1335" w:type="dxa"/>
                  <w:vAlign w:val="center"/>
                </w:tcPr>
                <w:p w14:paraId="6C740165">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废活性炭</w:t>
                  </w:r>
                </w:p>
              </w:tc>
              <w:tc>
                <w:tcPr>
                  <w:tcW w:w="1221" w:type="dxa"/>
                  <w:vAlign w:val="center"/>
                </w:tcPr>
                <w:p w14:paraId="5E779233">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6D1875FE">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37F24554">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w:t>
                  </w:r>
                </w:p>
              </w:tc>
              <w:tc>
                <w:tcPr>
                  <w:tcW w:w="1223" w:type="dxa"/>
                  <w:vAlign w:val="center"/>
                </w:tcPr>
                <w:p w14:paraId="2D6E8B91">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w:t>
                  </w:r>
                </w:p>
              </w:tc>
              <w:tc>
                <w:tcPr>
                  <w:tcW w:w="1223" w:type="dxa"/>
                  <w:vAlign w:val="center"/>
                </w:tcPr>
                <w:p w14:paraId="42EA9306">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+1</w:t>
                  </w:r>
                </w:p>
              </w:tc>
            </w:tr>
            <w:tr w14:paraId="4A03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continue"/>
                  <w:vAlign w:val="center"/>
                </w:tcPr>
                <w:p w14:paraId="23E23E21">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p>
              </w:tc>
              <w:tc>
                <w:tcPr>
                  <w:tcW w:w="1335" w:type="dxa"/>
                  <w:vAlign w:val="center"/>
                </w:tcPr>
                <w:p w14:paraId="313F55D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废催化剂</w:t>
                  </w:r>
                </w:p>
              </w:tc>
              <w:tc>
                <w:tcPr>
                  <w:tcW w:w="1221" w:type="dxa"/>
                  <w:vAlign w:val="center"/>
                </w:tcPr>
                <w:p w14:paraId="3B5A80E2">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1" w:type="dxa"/>
                  <w:vAlign w:val="center"/>
                </w:tcPr>
                <w:p w14:paraId="2AC5E704">
                  <w:pPr>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w:t>
                  </w:r>
                </w:p>
              </w:tc>
              <w:tc>
                <w:tcPr>
                  <w:tcW w:w="1222" w:type="dxa"/>
                  <w:vAlign w:val="center"/>
                </w:tcPr>
                <w:p w14:paraId="08394737">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0.18</w:t>
                  </w:r>
                </w:p>
              </w:tc>
              <w:tc>
                <w:tcPr>
                  <w:tcW w:w="1223" w:type="dxa"/>
                  <w:vAlign w:val="center"/>
                </w:tcPr>
                <w:p w14:paraId="600DCBEB">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0.18</w:t>
                  </w:r>
                </w:p>
              </w:tc>
              <w:tc>
                <w:tcPr>
                  <w:tcW w:w="1223" w:type="dxa"/>
                  <w:vAlign w:val="center"/>
                </w:tcPr>
                <w:p w14:paraId="56F3128E">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宋体"/>
                      <w:b w:val="0"/>
                      <w:bCs w:val="0"/>
                      <w:sz w:val="21"/>
                      <w:szCs w:val="21"/>
                      <w:vertAlign w:val="baseline"/>
                      <w:lang w:val="en-US" w:eastAsia="zh-CN"/>
                    </w:rPr>
                  </w:pPr>
                  <w:r>
                    <w:rPr>
                      <w:rFonts w:hint="eastAsia" w:ascii="Times New Roman" w:hAnsi="Times New Roman" w:eastAsia="宋体" w:cs="宋体"/>
                      <w:b w:val="0"/>
                      <w:bCs w:val="0"/>
                      <w:sz w:val="21"/>
                      <w:szCs w:val="21"/>
                      <w:vertAlign w:val="baseline"/>
                      <w:lang w:val="en-US" w:eastAsia="zh-CN"/>
                    </w:rPr>
                    <w:t>+0.18</w:t>
                  </w:r>
                </w:p>
              </w:tc>
            </w:tr>
          </w:tbl>
          <w:p w14:paraId="656BCEFA">
            <w:pPr>
              <w:pStyle w:val="2"/>
              <w:rPr>
                <w:rFonts w:hint="default"/>
                <w:lang w:val="en-US" w:eastAsia="zh-CN"/>
              </w:rPr>
            </w:pPr>
          </w:p>
        </w:tc>
      </w:tr>
    </w:tbl>
    <w:p w14:paraId="281C2701">
      <w:pPr>
        <w:adjustRightInd w:val="0"/>
        <w:snapToGrid w:val="0"/>
        <w:spacing w:line="360" w:lineRule="auto"/>
        <w:ind w:firstLine="562"/>
        <w:rPr>
          <w:b/>
          <w:color w:val="0000FF"/>
          <w:spacing w:val="0"/>
          <w:kern w:val="0"/>
          <w:position w:val="0"/>
          <w:sz w:val="21"/>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623D997">
      <w:pPr>
        <w:pStyle w:val="25"/>
        <w:ind w:firstLine="0" w:firstLineChars="0"/>
        <w:jc w:val="center"/>
        <w:outlineLvl w:val="0"/>
        <w:rPr>
          <w:rFonts w:ascii="Times New Roman" w:hAnsi="Times New Roman" w:eastAsia="黑体"/>
          <w:snapToGrid w:val="0"/>
          <w:color w:val="auto"/>
          <w:spacing w:val="0"/>
          <w:position w:val="0"/>
          <w:sz w:val="30"/>
          <w:szCs w:val="30"/>
        </w:rPr>
      </w:pPr>
      <w:r>
        <w:rPr>
          <w:rFonts w:ascii="Times New Roman" w:hAnsi="Times New Roman" w:eastAsia="黑体"/>
          <w:snapToGrid w:val="0"/>
          <w:color w:val="auto"/>
          <w:spacing w:val="0"/>
          <w:position w:val="0"/>
          <w:sz w:val="30"/>
          <w:szCs w:val="30"/>
        </w:rPr>
        <w:t>五、</w:t>
      </w:r>
      <w:bookmarkStart w:id="19" w:name="_Hlk54167917"/>
      <w:r>
        <w:rPr>
          <w:rFonts w:ascii="Times New Roman" w:hAnsi="Times New Roman" w:eastAsia="黑体"/>
          <w:snapToGrid w:val="0"/>
          <w:color w:val="auto"/>
          <w:spacing w:val="0"/>
          <w:position w:val="0"/>
          <w:sz w:val="30"/>
          <w:szCs w:val="30"/>
        </w:rPr>
        <w:t>环境保护措施监督检查清单</w:t>
      </w:r>
      <w:bookmarkEnd w:id="1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245"/>
        <w:gridCol w:w="1363"/>
        <w:gridCol w:w="2265"/>
        <w:gridCol w:w="2673"/>
      </w:tblGrid>
      <w:tr w14:paraId="7FF00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l2br w:val="single" w:color="auto" w:sz="4" w:space="0"/>
            </w:tcBorders>
          </w:tcPr>
          <w:p w14:paraId="6DC6EFB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210" w:firstLineChars="100"/>
              <w:jc w:val="right"/>
              <w:rPr>
                <w:color w:val="auto"/>
                <w:spacing w:val="0"/>
                <w:position w:val="0"/>
                <w:sz w:val="21"/>
                <w:szCs w:val="21"/>
              </w:rPr>
            </w:pPr>
            <w:r>
              <w:rPr>
                <w:color w:val="auto"/>
                <w:spacing w:val="0"/>
                <w:position w:val="0"/>
                <w:sz w:val="21"/>
                <w:szCs w:val="21"/>
              </w:rPr>
              <w:t>内容</w:t>
            </w:r>
          </w:p>
          <w:p w14:paraId="566E98A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562E00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rPr>
                <w:color w:val="auto"/>
                <w:spacing w:val="0"/>
                <w:position w:val="0"/>
                <w:sz w:val="21"/>
                <w:szCs w:val="21"/>
              </w:rPr>
            </w:pPr>
            <w:r>
              <w:rPr>
                <w:color w:val="auto"/>
                <w:spacing w:val="0"/>
                <w:position w:val="0"/>
                <w:sz w:val="21"/>
                <w:szCs w:val="21"/>
              </w:rPr>
              <w:t>要素</w:t>
            </w:r>
          </w:p>
        </w:tc>
        <w:tc>
          <w:tcPr>
            <w:tcW w:w="1245" w:type="dxa"/>
            <w:vAlign w:val="center"/>
          </w:tcPr>
          <w:p w14:paraId="73FD7B7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排放口（编号、名称）/污染源</w:t>
            </w:r>
          </w:p>
        </w:tc>
        <w:tc>
          <w:tcPr>
            <w:tcW w:w="1363" w:type="dxa"/>
            <w:vAlign w:val="center"/>
          </w:tcPr>
          <w:p w14:paraId="05B4677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污染物项目</w:t>
            </w:r>
          </w:p>
        </w:tc>
        <w:tc>
          <w:tcPr>
            <w:tcW w:w="2265" w:type="dxa"/>
            <w:vAlign w:val="center"/>
          </w:tcPr>
          <w:p w14:paraId="3E89CF0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环境保护措施</w:t>
            </w:r>
          </w:p>
        </w:tc>
        <w:tc>
          <w:tcPr>
            <w:tcW w:w="2673" w:type="dxa"/>
            <w:vAlign w:val="center"/>
          </w:tcPr>
          <w:p w14:paraId="10B97A94">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highlight w:val="none"/>
              </w:rPr>
              <w:t>执行标准</w:t>
            </w:r>
          </w:p>
        </w:tc>
      </w:tr>
      <w:tr w14:paraId="1C9F8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54" w:type="dxa"/>
            <w:vAlign w:val="center"/>
          </w:tcPr>
          <w:p w14:paraId="68106C9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大气环境</w:t>
            </w:r>
          </w:p>
        </w:tc>
        <w:tc>
          <w:tcPr>
            <w:tcW w:w="1245" w:type="dxa"/>
            <w:vAlign w:val="center"/>
          </w:tcPr>
          <w:p w14:paraId="0704B6B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DA001</w:t>
            </w:r>
          </w:p>
        </w:tc>
        <w:tc>
          <w:tcPr>
            <w:tcW w:w="1363" w:type="dxa"/>
            <w:vAlign w:val="center"/>
          </w:tcPr>
          <w:p w14:paraId="439EC37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颗粒物</w:t>
            </w:r>
          </w:p>
        </w:tc>
        <w:tc>
          <w:tcPr>
            <w:tcW w:w="2265" w:type="dxa"/>
            <w:vAlign w:val="center"/>
          </w:tcPr>
          <w:p w14:paraId="230F2A8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集气罩</w:t>
            </w:r>
            <w:r>
              <w:rPr>
                <w:rFonts w:hint="eastAsia" w:ascii="Times New Roman" w:hAnsi="Times New Roman" w:eastAsia="宋体" w:cs="Times New Roman"/>
                <w:color w:val="auto"/>
                <w:spacing w:val="0"/>
                <w:position w:val="0"/>
                <w:sz w:val="21"/>
                <w:szCs w:val="21"/>
                <w:lang w:val="en-US" w:eastAsia="zh-CN"/>
              </w:rPr>
              <w:t>+布袋除尘器+15m高排气筒</w:t>
            </w:r>
          </w:p>
        </w:tc>
        <w:tc>
          <w:tcPr>
            <w:tcW w:w="2673" w:type="dxa"/>
            <w:vAlign w:val="center"/>
          </w:tcPr>
          <w:p w14:paraId="239036F3">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宋体"/>
                <w:color w:val="auto"/>
                <w:spacing w:val="0"/>
                <w:position w:val="0"/>
                <w:sz w:val="21"/>
                <w:szCs w:val="21"/>
                <w:lang w:val="en-US" w:eastAsia="zh-CN"/>
              </w:rPr>
              <w:t>《合成树脂工业污染物排放标准》（GB- 31572-2015）及修改单</w:t>
            </w:r>
            <w:r>
              <w:rPr>
                <w:rFonts w:hint="default" w:ascii="Times New Roman" w:hAnsi="Times New Roman" w:eastAsia="宋体" w:cs="Times New Roman"/>
                <w:b w:val="0"/>
                <w:bCs w:val="0"/>
                <w:color w:val="auto"/>
                <w:spacing w:val="0"/>
                <w:position w:val="0"/>
                <w:sz w:val="21"/>
                <w:szCs w:val="21"/>
                <w:highlight w:val="none"/>
              </w:rPr>
              <w:t>颗粒物浓度限值</w:t>
            </w:r>
            <w:r>
              <w:rPr>
                <w:rFonts w:hint="default" w:ascii="Times New Roman" w:hAnsi="Times New Roman" w:eastAsia="宋体" w:cs="Times New Roman"/>
                <w:b w:val="0"/>
                <w:bCs w:val="0"/>
                <w:color w:val="auto"/>
                <w:spacing w:val="0"/>
                <w:position w:val="0"/>
                <w:sz w:val="21"/>
                <w:szCs w:val="21"/>
                <w:highlight w:val="none"/>
                <w:lang w:val="en-US" w:eastAsia="zh-CN"/>
              </w:rPr>
              <w:t>2</w:t>
            </w:r>
            <w:r>
              <w:rPr>
                <w:rFonts w:hint="default" w:ascii="Times New Roman" w:hAnsi="Times New Roman" w:eastAsia="宋体" w:cs="Times New Roman"/>
                <w:b w:val="0"/>
                <w:bCs w:val="0"/>
                <w:color w:val="auto"/>
                <w:spacing w:val="0"/>
                <w:position w:val="0"/>
                <w:sz w:val="21"/>
                <w:szCs w:val="21"/>
                <w:highlight w:val="none"/>
              </w:rPr>
              <w:t>0mg/m³</w:t>
            </w:r>
          </w:p>
        </w:tc>
      </w:tr>
      <w:tr w14:paraId="798C7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54" w:type="dxa"/>
            <w:vAlign w:val="center"/>
          </w:tcPr>
          <w:p w14:paraId="5CBA3A8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大气环境</w:t>
            </w:r>
          </w:p>
        </w:tc>
        <w:tc>
          <w:tcPr>
            <w:tcW w:w="1245" w:type="dxa"/>
            <w:vAlign w:val="center"/>
          </w:tcPr>
          <w:p w14:paraId="126BEE8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DA002</w:t>
            </w:r>
          </w:p>
        </w:tc>
        <w:tc>
          <w:tcPr>
            <w:tcW w:w="1363" w:type="dxa"/>
            <w:vAlign w:val="center"/>
          </w:tcPr>
          <w:p w14:paraId="5253419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非甲烷总烃</w:t>
            </w:r>
          </w:p>
        </w:tc>
        <w:tc>
          <w:tcPr>
            <w:tcW w:w="2265" w:type="dxa"/>
            <w:vAlign w:val="center"/>
          </w:tcPr>
          <w:p w14:paraId="16C566F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集气罩+</w:t>
            </w:r>
            <w:r>
              <w:rPr>
                <w:rFonts w:hint="eastAsia" w:cs="Times New Roman"/>
                <w:color w:val="auto"/>
                <w:spacing w:val="0"/>
                <w:position w:val="0"/>
                <w:sz w:val="21"/>
                <w:szCs w:val="21"/>
                <w:lang w:val="en-US" w:eastAsia="zh-CN"/>
              </w:rPr>
              <w:t>活性炭吸附脱附+</w:t>
            </w:r>
            <w:r>
              <w:rPr>
                <w:rFonts w:hint="eastAsia" w:ascii="Times New Roman" w:hAnsi="Times New Roman" w:eastAsia="宋体" w:cs="Times New Roman"/>
                <w:color w:val="auto"/>
                <w:spacing w:val="0"/>
                <w:position w:val="0"/>
                <w:sz w:val="21"/>
                <w:szCs w:val="21"/>
                <w:lang w:val="en-US" w:eastAsia="zh-CN"/>
              </w:rPr>
              <w:t>催化燃烧器+15m高排气筒</w:t>
            </w:r>
          </w:p>
        </w:tc>
        <w:tc>
          <w:tcPr>
            <w:tcW w:w="2673" w:type="dxa"/>
            <w:vAlign w:val="center"/>
          </w:tcPr>
          <w:p w14:paraId="4AA94037">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宋体"/>
                <w:color w:val="auto"/>
                <w:spacing w:val="0"/>
                <w:position w:val="0"/>
                <w:sz w:val="21"/>
                <w:szCs w:val="21"/>
                <w:lang w:val="en-US" w:eastAsia="zh-CN"/>
              </w:rPr>
              <w:t>《合成树脂工业污染物排放标准》（GB- 31572-2015）及修改单</w:t>
            </w:r>
            <w:r>
              <w:rPr>
                <w:rFonts w:hint="default" w:ascii="Times New Roman" w:hAnsi="Times New Roman" w:eastAsia="宋体" w:cs="Times New Roman"/>
                <w:b w:val="0"/>
                <w:bCs w:val="0"/>
                <w:color w:val="auto"/>
                <w:spacing w:val="0"/>
                <w:position w:val="0"/>
                <w:sz w:val="21"/>
                <w:szCs w:val="21"/>
                <w:highlight w:val="none"/>
              </w:rPr>
              <w:t>非甲烷总烃</w:t>
            </w:r>
            <w:r>
              <w:rPr>
                <w:rFonts w:hint="eastAsia" w:cs="Times New Roman"/>
                <w:b w:val="0"/>
                <w:bCs w:val="0"/>
                <w:color w:val="auto"/>
                <w:spacing w:val="0"/>
                <w:position w:val="0"/>
                <w:sz w:val="21"/>
                <w:szCs w:val="21"/>
                <w:highlight w:val="none"/>
                <w:lang w:val="en-US" w:eastAsia="zh-CN"/>
              </w:rPr>
              <w:t>特别</w:t>
            </w:r>
            <w:r>
              <w:rPr>
                <w:rFonts w:hint="default" w:ascii="Times New Roman" w:hAnsi="Times New Roman" w:eastAsia="宋体" w:cs="Times New Roman"/>
                <w:b w:val="0"/>
                <w:bCs w:val="0"/>
                <w:color w:val="auto"/>
                <w:spacing w:val="0"/>
                <w:position w:val="0"/>
                <w:sz w:val="21"/>
                <w:szCs w:val="21"/>
                <w:highlight w:val="none"/>
              </w:rPr>
              <w:t>排放限值</w:t>
            </w:r>
            <w:r>
              <w:rPr>
                <w:rFonts w:hint="eastAsia" w:cs="Times New Roman"/>
                <w:b w:val="0"/>
                <w:bCs w:val="0"/>
                <w:color w:val="auto"/>
                <w:spacing w:val="0"/>
                <w:position w:val="0"/>
                <w:sz w:val="21"/>
                <w:szCs w:val="21"/>
                <w:highlight w:val="none"/>
                <w:lang w:val="en-US" w:eastAsia="zh-CN"/>
              </w:rPr>
              <w:t>6</w:t>
            </w:r>
            <w:r>
              <w:rPr>
                <w:rFonts w:hint="default" w:ascii="Times New Roman" w:hAnsi="Times New Roman" w:eastAsia="宋体" w:cs="Times New Roman"/>
                <w:b w:val="0"/>
                <w:bCs w:val="0"/>
                <w:color w:val="auto"/>
                <w:spacing w:val="0"/>
                <w:position w:val="0"/>
                <w:sz w:val="21"/>
                <w:szCs w:val="21"/>
                <w:highlight w:val="none"/>
              </w:rPr>
              <w:t>0mg/m³</w:t>
            </w:r>
          </w:p>
        </w:tc>
      </w:tr>
      <w:tr w14:paraId="24F4B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54" w:type="dxa"/>
            <w:vAlign w:val="center"/>
          </w:tcPr>
          <w:p w14:paraId="1565602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大气环境</w:t>
            </w:r>
          </w:p>
        </w:tc>
        <w:tc>
          <w:tcPr>
            <w:tcW w:w="1245" w:type="dxa"/>
            <w:vAlign w:val="center"/>
          </w:tcPr>
          <w:p w14:paraId="0298F738">
            <w:pPr>
              <w:pStyle w:val="64"/>
              <w:keepNext w:val="0"/>
              <w:keepLines w:val="0"/>
              <w:pageBreakBefore w:val="0"/>
              <w:kinsoku/>
              <w:wordWrap/>
              <w:overflowPunct/>
              <w:topLinePunct w:val="0"/>
              <w:autoSpaceDE/>
              <w:autoSpaceDN/>
              <w:bidi w:val="0"/>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color w:val="auto"/>
                <w:spacing w:val="0"/>
                <w:kern w:val="2"/>
                <w:position w:val="0"/>
                <w:sz w:val="21"/>
                <w:szCs w:val="21"/>
                <w:lang w:val="en-US" w:eastAsia="zh-CN" w:bidi="ar-SA"/>
              </w:rPr>
              <w:t>厂区内</w:t>
            </w:r>
            <w:r>
              <w:rPr>
                <w:rFonts w:hint="default" w:ascii="Times New Roman" w:hAnsi="Times New Roman" w:eastAsia="宋体" w:cs="Times New Roman"/>
                <w:color w:val="auto"/>
                <w:spacing w:val="0"/>
                <w:kern w:val="2"/>
                <w:position w:val="0"/>
                <w:sz w:val="21"/>
                <w:szCs w:val="21"/>
                <w:lang w:val="en-US" w:eastAsia="zh-CN" w:bidi="ar-SA"/>
              </w:rPr>
              <w:t>无组织非甲烷总烃</w:t>
            </w:r>
          </w:p>
        </w:tc>
        <w:tc>
          <w:tcPr>
            <w:tcW w:w="1363" w:type="dxa"/>
            <w:vAlign w:val="center"/>
          </w:tcPr>
          <w:p w14:paraId="288B59A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color w:val="auto"/>
                <w:spacing w:val="0"/>
                <w:kern w:val="2"/>
                <w:position w:val="0"/>
                <w:sz w:val="21"/>
                <w:szCs w:val="21"/>
                <w:lang w:val="en-US" w:eastAsia="zh-CN" w:bidi="ar-SA"/>
              </w:rPr>
              <w:t>非甲烷总烃</w:t>
            </w:r>
          </w:p>
        </w:tc>
        <w:tc>
          <w:tcPr>
            <w:tcW w:w="2265" w:type="dxa"/>
            <w:vAlign w:val="center"/>
          </w:tcPr>
          <w:p w14:paraId="75765F0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zh-CN" w:bidi="ar-SA"/>
              </w:rPr>
              <w:t>加强通风</w:t>
            </w:r>
          </w:p>
        </w:tc>
        <w:tc>
          <w:tcPr>
            <w:tcW w:w="2673" w:type="dxa"/>
            <w:vAlign w:val="center"/>
          </w:tcPr>
          <w:p w14:paraId="3820E26A">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b w:val="0"/>
                <w:bCs w:val="0"/>
                <w:color w:val="auto"/>
                <w:spacing w:val="0"/>
                <w:position w:val="0"/>
                <w:sz w:val="21"/>
                <w:szCs w:val="21"/>
                <w:highlight w:val="none"/>
              </w:rPr>
              <w:t>《挥发性有机物无组织排放控制标准》（GB37822—2019）</w:t>
            </w:r>
            <w:r>
              <w:rPr>
                <w:rFonts w:hint="eastAsia" w:cs="Times New Roman"/>
                <w:b w:val="0"/>
                <w:bCs w:val="0"/>
                <w:color w:val="auto"/>
                <w:spacing w:val="0"/>
                <w:position w:val="0"/>
                <w:sz w:val="21"/>
                <w:szCs w:val="21"/>
                <w:highlight w:val="none"/>
                <w:lang w:val="en-US" w:eastAsia="zh-CN"/>
              </w:rPr>
              <w:t>特别</w:t>
            </w:r>
            <w:r>
              <w:rPr>
                <w:rFonts w:hint="default" w:ascii="Times New Roman" w:hAnsi="Times New Roman" w:eastAsia="宋体" w:cs="Times New Roman"/>
                <w:b w:val="0"/>
                <w:bCs w:val="0"/>
                <w:color w:val="auto"/>
                <w:spacing w:val="0"/>
                <w:position w:val="0"/>
                <w:sz w:val="21"/>
                <w:szCs w:val="21"/>
                <w:highlight w:val="none"/>
                <w:lang w:val="en-US" w:eastAsia="zh-CN"/>
              </w:rPr>
              <w:t>排放限值</w:t>
            </w:r>
            <w:r>
              <w:rPr>
                <w:rFonts w:hint="eastAsia" w:cs="Times New Roman"/>
                <w:b w:val="0"/>
                <w:bCs w:val="0"/>
                <w:color w:val="auto"/>
                <w:spacing w:val="0"/>
                <w:position w:val="0"/>
                <w:sz w:val="21"/>
                <w:szCs w:val="21"/>
                <w:highlight w:val="none"/>
                <w:lang w:val="en-US" w:eastAsia="zh-CN"/>
              </w:rPr>
              <w:t>6</w:t>
            </w:r>
            <w:r>
              <w:rPr>
                <w:rFonts w:hint="default" w:ascii="Times New Roman" w:hAnsi="Times New Roman" w:eastAsia="宋体" w:cs="Times New Roman"/>
                <w:b w:val="0"/>
                <w:bCs w:val="0"/>
                <w:color w:val="auto"/>
                <w:spacing w:val="0"/>
                <w:position w:val="0"/>
                <w:sz w:val="21"/>
                <w:szCs w:val="21"/>
                <w:highlight w:val="none"/>
                <w:lang w:val="en-US" w:eastAsia="zh-CN"/>
              </w:rPr>
              <w:t>.0mg/m³</w:t>
            </w:r>
          </w:p>
        </w:tc>
      </w:tr>
      <w:tr w14:paraId="542AC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54" w:type="dxa"/>
            <w:vAlign w:val="center"/>
          </w:tcPr>
          <w:p w14:paraId="088DDBC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大气环境</w:t>
            </w:r>
          </w:p>
        </w:tc>
        <w:tc>
          <w:tcPr>
            <w:tcW w:w="1245" w:type="dxa"/>
            <w:vAlign w:val="center"/>
          </w:tcPr>
          <w:p w14:paraId="278B0A66">
            <w:pPr>
              <w:pStyle w:val="64"/>
              <w:keepNext w:val="0"/>
              <w:keepLines w:val="0"/>
              <w:pageBreakBefore w:val="0"/>
              <w:kinsoku/>
              <w:wordWrap/>
              <w:overflowPunct/>
              <w:topLinePunct w:val="0"/>
              <w:autoSpaceDE/>
              <w:autoSpaceDN/>
              <w:bidi w:val="0"/>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color w:val="auto"/>
                <w:spacing w:val="0"/>
                <w:kern w:val="2"/>
                <w:position w:val="0"/>
                <w:sz w:val="21"/>
                <w:szCs w:val="21"/>
                <w:lang w:val="en-US" w:eastAsia="zh-CN" w:bidi="ar-SA"/>
              </w:rPr>
              <w:t>厂界</w:t>
            </w:r>
            <w:r>
              <w:rPr>
                <w:rFonts w:hint="default" w:ascii="Times New Roman" w:hAnsi="Times New Roman" w:eastAsia="宋体" w:cs="Times New Roman"/>
                <w:color w:val="auto"/>
                <w:spacing w:val="0"/>
                <w:kern w:val="2"/>
                <w:position w:val="0"/>
                <w:sz w:val="21"/>
                <w:szCs w:val="21"/>
                <w:lang w:val="en-US" w:eastAsia="zh-CN" w:bidi="ar-SA"/>
              </w:rPr>
              <w:t>无组织</w:t>
            </w:r>
            <w:r>
              <w:rPr>
                <w:rFonts w:hint="eastAsia" w:cs="Times New Roman"/>
                <w:b w:val="0"/>
                <w:bCs w:val="0"/>
                <w:color w:val="auto"/>
                <w:spacing w:val="0"/>
                <w:position w:val="0"/>
                <w:sz w:val="21"/>
                <w:szCs w:val="21"/>
                <w:highlight w:val="none"/>
                <w:lang w:val="en-US" w:eastAsia="zh-CN"/>
              </w:rPr>
              <w:t>氯化氢</w:t>
            </w:r>
          </w:p>
        </w:tc>
        <w:tc>
          <w:tcPr>
            <w:tcW w:w="1363" w:type="dxa"/>
            <w:vAlign w:val="center"/>
          </w:tcPr>
          <w:p w14:paraId="6BE75B37">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cs="Times New Roman"/>
                <w:b w:val="0"/>
                <w:bCs w:val="0"/>
                <w:color w:val="auto"/>
                <w:spacing w:val="0"/>
                <w:position w:val="0"/>
                <w:sz w:val="21"/>
                <w:szCs w:val="21"/>
                <w:highlight w:val="none"/>
                <w:lang w:val="en-US" w:eastAsia="zh-CN"/>
              </w:rPr>
              <w:t>氯化氢</w:t>
            </w:r>
          </w:p>
        </w:tc>
        <w:tc>
          <w:tcPr>
            <w:tcW w:w="2265" w:type="dxa"/>
            <w:vAlign w:val="center"/>
          </w:tcPr>
          <w:p w14:paraId="68711743">
            <w:pPr>
              <w:keepNext w:val="0"/>
              <w:keepLines w:val="0"/>
              <w:pageBreakBefore w:val="0"/>
              <w:kinsoku/>
              <w:wordWrap/>
              <w:overflowPunct/>
              <w:topLinePunct w:val="0"/>
              <w:autoSpaceDE/>
              <w:autoSpaceDN/>
              <w:bidi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zh-CN" w:bidi="ar-SA"/>
              </w:rPr>
              <w:t>加强通风</w:t>
            </w:r>
          </w:p>
        </w:tc>
        <w:tc>
          <w:tcPr>
            <w:tcW w:w="2673" w:type="dxa"/>
            <w:vAlign w:val="center"/>
          </w:tcPr>
          <w:p w14:paraId="5D8020A6">
            <w:pPr>
              <w:keepNext w:val="0"/>
              <w:pageBreakBefore w:val="0"/>
              <w:widowControl w:val="0"/>
              <w:kinsoku/>
              <w:wordWrap/>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cs="宋体"/>
                <w:color w:val="auto"/>
                <w:spacing w:val="0"/>
                <w:position w:val="0"/>
                <w:sz w:val="21"/>
                <w:szCs w:val="21"/>
                <w:lang w:val="en-US" w:eastAsia="zh-CN"/>
              </w:rPr>
              <w:t>《合成树脂工业污染物排放标准》（GB- 31572-2015）及修改单表9</w:t>
            </w:r>
            <w:r>
              <w:rPr>
                <w:rFonts w:hint="default" w:ascii="Times New Roman" w:hAnsi="Times New Roman" w:eastAsia="宋体" w:cs="Times New Roman"/>
                <w:b w:val="0"/>
                <w:bCs w:val="0"/>
                <w:color w:val="auto"/>
                <w:spacing w:val="0"/>
                <w:position w:val="0"/>
                <w:sz w:val="21"/>
                <w:szCs w:val="21"/>
                <w:highlight w:val="none"/>
              </w:rPr>
              <w:t>企业边界</w:t>
            </w:r>
            <w:r>
              <w:rPr>
                <w:rFonts w:hint="eastAsia" w:cs="Times New Roman"/>
                <w:b w:val="0"/>
                <w:bCs w:val="0"/>
                <w:color w:val="auto"/>
                <w:spacing w:val="0"/>
                <w:position w:val="0"/>
                <w:sz w:val="21"/>
                <w:szCs w:val="21"/>
                <w:highlight w:val="none"/>
                <w:lang w:val="en-US" w:eastAsia="zh-CN"/>
              </w:rPr>
              <w:t>氯化氢</w:t>
            </w:r>
            <w:r>
              <w:rPr>
                <w:rFonts w:hint="default" w:ascii="Times New Roman" w:hAnsi="Times New Roman" w:eastAsia="宋体" w:cs="Times New Roman"/>
                <w:b w:val="0"/>
                <w:bCs w:val="0"/>
                <w:color w:val="auto"/>
                <w:spacing w:val="0"/>
                <w:position w:val="0"/>
                <w:sz w:val="21"/>
                <w:szCs w:val="21"/>
                <w:highlight w:val="none"/>
              </w:rPr>
              <w:t>浓度限值</w:t>
            </w:r>
          </w:p>
        </w:tc>
      </w:tr>
      <w:tr w14:paraId="4A2AE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1254" w:type="dxa"/>
            <w:vAlign w:val="center"/>
          </w:tcPr>
          <w:p w14:paraId="2BE2809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水环境</w:t>
            </w:r>
          </w:p>
        </w:tc>
        <w:tc>
          <w:tcPr>
            <w:tcW w:w="1245" w:type="dxa"/>
            <w:vAlign w:val="center"/>
          </w:tcPr>
          <w:p w14:paraId="7F551C6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生活</w:t>
            </w:r>
          </w:p>
          <w:p w14:paraId="0213C8F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污水</w:t>
            </w:r>
          </w:p>
        </w:tc>
        <w:tc>
          <w:tcPr>
            <w:tcW w:w="1363" w:type="dxa"/>
            <w:vAlign w:val="center"/>
          </w:tcPr>
          <w:p w14:paraId="581C909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COD</w:t>
            </w:r>
            <w:r>
              <w:rPr>
                <w:rFonts w:hint="eastAsia" w:ascii="Times New Roman" w:hAnsi="Times New Roman" w:eastAsia="宋体" w:cs="Times New Roman"/>
                <w:color w:val="auto"/>
                <w:spacing w:val="0"/>
                <w:position w:val="0"/>
                <w:sz w:val="21"/>
                <w:szCs w:val="21"/>
                <w:vertAlign w:val="subscript"/>
                <w:lang w:val="en-US" w:eastAsia="zh-CN"/>
              </w:rPr>
              <w:t>Cr</w:t>
            </w:r>
            <w:r>
              <w:rPr>
                <w:rFonts w:hint="eastAsia" w:ascii="Times New Roman" w:hAnsi="Times New Roman" w:eastAsia="宋体" w:cs="Times New Roman"/>
                <w:color w:val="auto"/>
                <w:spacing w:val="0"/>
                <w:position w:val="0"/>
                <w:sz w:val="21"/>
                <w:szCs w:val="21"/>
                <w:lang w:val="en-US" w:eastAsia="zh-CN"/>
              </w:rPr>
              <w:t>、BOD</w:t>
            </w:r>
            <w:r>
              <w:rPr>
                <w:rFonts w:hint="eastAsia" w:ascii="Times New Roman" w:hAnsi="Times New Roman" w:eastAsia="宋体" w:cs="Times New Roman"/>
                <w:color w:val="auto"/>
                <w:spacing w:val="0"/>
                <w:position w:val="0"/>
                <w:sz w:val="21"/>
                <w:szCs w:val="21"/>
                <w:vertAlign w:val="subscript"/>
                <w:lang w:val="en-US" w:eastAsia="zh-CN"/>
              </w:rPr>
              <w:t>5</w:t>
            </w:r>
            <w:r>
              <w:rPr>
                <w:rFonts w:hint="eastAsia" w:ascii="Times New Roman" w:hAnsi="Times New Roman" w:eastAsia="宋体" w:cs="Times New Roman"/>
                <w:color w:val="auto"/>
                <w:spacing w:val="0"/>
                <w:position w:val="0"/>
                <w:sz w:val="21"/>
                <w:szCs w:val="21"/>
                <w:lang w:val="en-US" w:eastAsia="zh-CN"/>
              </w:rPr>
              <w:t>、SS、NH</w:t>
            </w:r>
            <w:r>
              <w:rPr>
                <w:rFonts w:hint="eastAsia" w:ascii="Times New Roman" w:hAnsi="Times New Roman" w:eastAsia="宋体" w:cs="Times New Roman"/>
                <w:color w:val="auto"/>
                <w:spacing w:val="0"/>
                <w:position w:val="0"/>
                <w:sz w:val="21"/>
                <w:szCs w:val="21"/>
                <w:vertAlign w:val="subscript"/>
                <w:lang w:val="en-US" w:eastAsia="zh-CN"/>
              </w:rPr>
              <w:t>3</w:t>
            </w:r>
            <w:r>
              <w:rPr>
                <w:rFonts w:hint="eastAsia" w:ascii="Times New Roman" w:hAnsi="Times New Roman" w:eastAsia="宋体" w:cs="Times New Roman"/>
                <w:color w:val="auto"/>
                <w:spacing w:val="0"/>
                <w:position w:val="0"/>
                <w:sz w:val="21"/>
                <w:szCs w:val="21"/>
                <w:lang w:val="en-US" w:eastAsia="zh-CN"/>
              </w:rPr>
              <w:t>-N</w:t>
            </w:r>
          </w:p>
        </w:tc>
        <w:tc>
          <w:tcPr>
            <w:tcW w:w="2265" w:type="dxa"/>
            <w:vAlign w:val="center"/>
          </w:tcPr>
          <w:p w14:paraId="77AC0D3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rFonts w:hint="eastAsia"/>
                <w:color w:val="auto"/>
                <w:spacing w:val="0"/>
                <w:position w:val="0"/>
                <w:sz w:val="21"/>
                <w:szCs w:val="21"/>
              </w:rPr>
              <w:t>排入市政管网</w:t>
            </w:r>
          </w:p>
        </w:tc>
        <w:tc>
          <w:tcPr>
            <w:tcW w:w="2673" w:type="dxa"/>
            <w:vAlign w:val="center"/>
          </w:tcPr>
          <w:p w14:paraId="5DCF39D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rFonts w:hint="eastAsia"/>
                <w:color w:val="auto"/>
                <w:spacing w:val="0"/>
                <w:position w:val="0"/>
                <w:sz w:val="21"/>
                <w:szCs w:val="21"/>
              </w:rPr>
              <w:t>《污水综合排放标准》（</w:t>
            </w:r>
            <w:r>
              <w:rPr>
                <w:color w:val="auto"/>
                <w:spacing w:val="0"/>
                <w:position w:val="0"/>
                <w:sz w:val="21"/>
                <w:szCs w:val="21"/>
              </w:rPr>
              <w:t>GB8978-1996</w:t>
            </w:r>
            <w:r>
              <w:rPr>
                <w:rFonts w:hint="eastAsia"/>
                <w:color w:val="auto"/>
                <w:spacing w:val="0"/>
                <w:position w:val="0"/>
                <w:sz w:val="21"/>
                <w:szCs w:val="21"/>
              </w:rPr>
              <w:t>）表</w:t>
            </w:r>
            <w:r>
              <w:rPr>
                <w:color w:val="auto"/>
                <w:spacing w:val="0"/>
                <w:position w:val="0"/>
                <w:sz w:val="21"/>
                <w:szCs w:val="21"/>
              </w:rPr>
              <w:t>4</w:t>
            </w:r>
            <w:r>
              <w:rPr>
                <w:rFonts w:hint="eastAsia"/>
                <w:color w:val="auto"/>
                <w:spacing w:val="0"/>
                <w:position w:val="0"/>
                <w:sz w:val="21"/>
                <w:szCs w:val="21"/>
              </w:rPr>
              <w:t>中三级标准</w:t>
            </w:r>
          </w:p>
        </w:tc>
      </w:tr>
      <w:tr w14:paraId="5880C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54" w:type="dxa"/>
            <w:vAlign w:val="center"/>
          </w:tcPr>
          <w:p w14:paraId="414A8F1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声环境</w:t>
            </w:r>
          </w:p>
        </w:tc>
        <w:tc>
          <w:tcPr>
            <w:tcW w:w="1245" w:type="dxa"/>
            <w:vAlign w:val="center"/>
          </w:tcPr>
          <w:p w14:paraId="57A2330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噪声</w:t>
            </w:r>
          </w:p>
        </w:tc>
        <w:tc>
          <w:tcPr>
            <w:tcW w:w="1363" w:type="dxa"/>
            <w:vAlign w:val="center"/>
          </w:tcPr>
          <w:p w14:paraId="124F958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rFonts w:hint="eastAsia"/>
                <w:color w:val="auto"/>
                <w:spacing w:val="0"/>
                <w:position w:val="0"/>
                <w:sz w:val="21"/>
                <w:szCs w:val="21"/>
              </w:rPr>
              <w:t>设备</w:t>
            </w:r>
            <w:r>
              <w:rPr>
                <w:color w:val="auto"/>
                <w:spacing w:val="0"/>
                <w:position w:val="0"/>
                <w:sz w:val="21"/>
                <w:szCs w:val="21"/>
              </w:rPr>
              <w:t>噪声</w:t>
            </w:r>
          </w:p>
        </w:tc>
        <w:tc>
          <w:tcPr>
            <w:tcW w:w="2265" w:type="dxa"/>
            <w:vAlign w:val="center"/>
          </w:tcPr>
          <w:p w14:paraId="7634EF1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rFonts w:hint="default" w:eastAsia="宋体"/>
                <w:color w:val="auto"/>
                <w:spacing w:val="0"/>
                <w:position w:val="0"/>
                <w:sz w:val="21"/>
                <w:szCs w:val="21"/>
                <w:lang w:val="en-US" w:eastAsia="zh-CN"/>
              </w:rPr>
            </w:pPr>
            <w:r>
              <w:rPr>
                <w:color w:val="auto"/>
                <w:spacing w:val="0"/>
                <w:position w:val="0"/>
                <w:sz w:val="21"/>
                <w:szCs w:val="21"/>
              </w:rPr>
              <w:t>选用低噪声设备、隔声、减震</w:t>
            </w:r>
            <w:r>
              <w:rPr>
                <w:rFonts w:hint="eastAsia"/>
                <w:color w:val="auto"/>
                <w:spacing w:val="0"/>
                <w:position w:val="0"/>
                <w:sz w:val="21"/>
                <w:szCs w:val="21"/>
                <w:lang w:eastAsia="zh-CN"/>
              </w:rPr>
              <w:t>、</w:t>
            </w:r>
            <w:r>
              <w:rPr>
                <w:rFonts w:hint="eastAsia"/>
                <w:color w:val="auto"/>
                <w:spacing w:val="0"/>
                <w:position w:val="0"/>
                <w:sz w:val="21"/>
                <w:szCs w:val="21"/>
                <w:lang w:val="en-US" w:eastAsia="zh-CN"/>
              </w:rPr>
              <w:t>及时维修保养设备</w:t>
            </w:r>
          </w:p>
        </w:tc>
        <w:tc>
          <w:tcPr>
            <w:tcW w:w="2673" w:type="dxa"/>
            <w:vAlign w:val="center"/>
          </w:tcPr>
          <w:p w14:paraId="5A66A55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《工业企业厂界环境噪声排放标准》（GB12348—2008）</w:t>
            </w:r>
            <w:r>
              <w:rPr>
                <w:rFonts w:hint="eastAsia"/>
                <w:color w:val="auto"/>
                <w:spacing w:val="0"/>
                <w:position w:val="0"/>
                <w:sz w:val="21"/>
                <w:szCs w:val="21"/>
                <w:lang w:val="en-US" w:eastAsia="zh-CN"/>
              </w:rPr>
              <w:t>3</w:t>
            </w:r>
            <w:r>
              <w:rPr>
                <w:color w:val="auto"/>
                <w:spacing w:val="0"/>
                <w:position w:val="0"/>
                <w:sz w:val="21"/>
                <w:szCs w:val="21"/>
              </w:rPr>
              <w:t>类标准</w:t>
            </w:r>
          </w:p>
        </w:tc>
      </w:tr>
      <w:tr w14:paraId="0FC29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54" w:type="dxa"/>
            <w:vMerge w:val="restart"/>
            <w:vAlign w:val="center"/>
          </w:tcPr>
          <w:p w14:paraId="4B342EB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固体废物</w:t>
            </w:r>
          </w:p>
        </w:tc>
        <w:tc>
          <w:tcPr>
            <w:tcW w:w="1245" w:type="dxa"/>
            <w:vAlign w:val="center"/>
          </w:tcPr>
          <w:p w14:paraId="74D49BE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left"/>
              <w:rPr>
                <w:color w:val="auto"/>
                <w:spacing w:val="0"/>
                <w:position w:val="0"/>
                <w:sz w:val="21"/>
                <w:szCs w:val="21"/>
              </w:rPr>
            </w:pPr>
            <w:r>
              <w:rPr>
                <w:rFonts w:hint="eastAsia"/>
                <w:color w:val="auto"/>
                <w:spacing w:val="0"/>
                <w:position w:val="0"/>
                <w:sz w:val="21"/>
                <w:szCs w:val="21"/>
              </w:rPr>
              <w:t>生活垃圾</w:t>
            </w:r>
          </w:p>
        </w:tc>
        <w:tc>
          <w:tcPr>
            <w:tcW w:w="6301" w:type="dxa"/>
            <w:gridSpan w:val="3"/>
            <w:vAlign w:val="center"/>
          </w:tcPr>
          <w:p w14:paraId="29EEC8DB">
            <w:pPr>
              <w:keepNext w:val="0"/>
              <w:keepLines w:val="0"/>
              <w:pageBreakBefore w:val="0"/>
              <w:kinsoku/>
              <w:wordWrap/>
              <w:overflowPunct/>
              <w:topLinePunct w:val="0"/>
              <w:autoSpaceDE/>
              <w:autoSpaceDN/>
              <w:bidi w:val="0"/>
              <w:spacing w:beforeAutospacing="0" w:afterAutospacing="0" w:line="240" w:lineRule="auto"/>
              <w:ind w:firstLine="560"/>
              <w:jc w:val="left"/>
              <w:rPr>
                <w:color w:val="auto"/>
                <w:spacing w:val="0"/>
                <w:position w:val="0"/>
                <w:sz w:val="21"/>
                <w:szCs w:val="21"/>
              </w:rPr>
            </w:pPr>
            <w:r>
              <w:rPr>
                <w:rFonts w:hint="eastAsia"/>
                <w:color w:val="auto"/>
                <w:spacing w:val="0"/>
                <w:position w:val="0"/>
                <w:sz w:val="21"/>
                <w:szCs w:val="21"/>
              </w:rPr>
              <w:t>本项目生活垃圾分类收集后交由当地环卫部门每天统一清运。</w:t>
            </w:r>
          </w:p>
        </w:tc>
      </w:tr>
      <w:tr w14:paraId="17C87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54" w:type="dxa"/>
            <w:vMerge w:val="continue"/>
            <w:vAlign w:val="center"/>
          </w:tcPr>
          <w:p w14:paraId="02C8475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tc>
        <w:tc>
          <w:tcPr>
            <w:tcW w:w="1245" w:type="dxa"/>
            <w:vAlign w:val="center"/>
          </w:tcPr>
          <w:p w14:paraId="5D3729E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left"/>
              <w:rPr>
                <w:color w:val="auto"/>
                <w:spacing w:val="0"/>
                <w:position w:val="0"/>
                <w:sz w:val="21"/>
                <w:szCs w:val="21"/>
              </w:rPr>
            </w:pPr>
            <w:r>
              <w:rPr>
                <w:rFonts w:hint="eastAsia"/>
                <w:color w:val="auto"/>
                <w:spacing w:val="0"/>
                <w:position w:val="0"/>
                <w:sz w:val="21"/>
                <w:szCs w:val="21"/>
              </w:rPr>
              <w:t>一般固废</w:t>
            </w:r>
          </w:p>
        </w:tc>
        <w:tc>
          <w:tcPr>
            <w:tcW w:w="6301" w:type="dxa"/>
            <w:gridSpan w:val="3"/>
            <w:vAlign w:val="center"/>
          </w:tcPr>
          <w:p w14:paraId="58E656B6">
            <w:pPr>
              <w:keepNext w:val="0"/>
              <w:keepLines w:val="0"/>
              <w:pageBreakBefore w:val="0"/>
              <w:kinsoku/>
              <w:wordWrap/>
              <w:overflowPunct/>
              <w:topLinePunct w:val="0"/>
              <w:autoSpaceDE/>
              <w:autoSpaceDN/>
              <w:bidi w:val="0"/>
              <w:spacing w:beforeAutospacing="0" w:afterAutospacing="0" w:line="240" w:lineRule="auto"/>
              <w:ind w:firstLine="560"/>
              <w:jc w:val="left"/>
              <w:rPr>
                <w:color w:val="auto"/>
                <w:spacing w:val="0"/>
                <w:position w:val="0"/>
                <w:sz w:val="21"/>
                <w:szCs w:val="21"/>
              </w:rPr>
            </w:pPr>
            <w:r>
              <w:rPr>
                <w:rFonts w:hint="eastAsia"/>
                <w:color w:val="auto"/>
                <w:spacing w:val="0"/>
                <w:position w:val="0"/>
                <w:sz w:val="21"/>
                <w:szCs w:val="21"/>
              </w:rPr>
              <w:t>废包装物经垃圾桶收集后由当地环卫部门收集处理；除尘器收集的粉尘全部收集后由当地环卫部门收集处理。</w:t>
            </w:r>
          </w:p>
        </w:tc>
      </w:tr>
      <w:tr w14:paraId="31C8A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54" w:type="dxa"/>
            <w:vMerge w:val="continue"/>
            <w:vAlign w:val="center"/>
          </w:tcPr>
          <w:p w14:paraId="1073BF32">
            <w:pPr>
              <w:keepNext w:val="0"/>
              <w:keepLines w:val="0"/>
              <w:pageBreakBefore w:val="0"/>
              <w:kinsoku/>
              <w:wordWrap/>
              <w:overflowPunct/>
              <w:topLinePunct w:val="0"/>
              <w:autoSpaceDE/>
              <w:autoSpaceDN/>
              <w:bidi w:val="0"/>
              <w:spacing w:beforeAutospacing="0" w:afterAutospacing="0" w:line="240" w:lineRule="auto"/>
              <w:ind w:firstLine="560"/>
              <w:rPr>
                <w:color w:val="auto"/>
                <w:spacing w:val="0"/>
                <w:position w:val="0"/>
                <w:sz w:val="21"/>
                <w:szCs w:val="21"/>
              </w:rPr>
            </w:pPr>
          </w:p>
        </w:tc>
        <w:tc>
          <w:tcPr>
            <w:tcW w:w="1245" w:type="dxa"/>
            <w:vAlign w:val="center"/>
          </w:tcPr>
          <w:p w14:paraId="3CF4C2B7">
            <w:pPr>
              <w:keepNext w:val="0"/>
              <w:keepLines w:val="0"/>
              <w:pageBreakBefore w:val="0"/>
              <w:kinsoku/>
              <w:wordWrap/>
              <w:overflowPunct/>
              <w:topLinePunct w:val="0"/>
              <w:autoSpaceDE/>
              <w:autoSpaceDN/>
              <w:bidi w:val="0"/>
              <w:spacing w:beforeAutospacing="0" w:afterAutospacing="0" w:line="240" w:lineRule="auto"/>
              <w:ind w:firstLine="0" w:firstLineChars="0"/>
              <w:jc w:val="left"/>
              <w:rPr>
                <w:color w:val="auto"/>
                <w:spacing w:val="0"/>
                <w:position w:val="0"/>
                <w:sz w:val="21"/>
                <w:szCs w:val="21"/>
              </w:rPr>
            </w:pPr>
            <w:r>
              <w:rPr>
                <w:rFonts w:hint="eastAsia"/>
                <w:color w:val="auto"/>
                <w:spacing w:val="0"/>
                <w:position w:val="0"/>
                <w:sz w:val="21"/>
                <w:szCs w:val="21"/>
              </w:rPr>
              <w:t>危险废物</w:t>
            </w:r>
          </w:p>
        </w:tc>
        <w:tc>
          <w:tcPr>
            <w:tcW w:w="6301" w:type="dxa"/>
            <w:gridSpan w:val="3"/>
            <w:vAlign w:val="center"/>
          </w:tcPr>
          <w:p w14:paraId="41F049BE">
            <w:pPr>
              <w:keepNext w:val="0"/>
              <w:keepLines w:val="0"/>
              <w:pageBreakBefore w:val="0"/>
              <w:kinsoku/>
              <w:wordWrap/>
              <w:overflowPunct/>
              <w:topLinePunct w:val="0"/>
              <w:autoSpaceDE/>
              <w:autoSpaceDN/>
              <w:bidi w:val="0"/>
              <w:spacing w:beforeAutospacing="0" w:afterAutospacing="0" w:line="240" w:lineRule="auto"/>
              <w:ind w:firstLine="560"/>
              <w:jc w:val="left"/>
              <w:rPr>
                <w:color w:val="auto"/>
                <w:spacing w:val="0"/>
                <w:position w:val="0"/>
                <w:sz w:val="21"/>
                <w:szCs w:val="21"/>
              </w:rPr>
            </w:pPr>
            <w:r>
              <w:rPr>
                <w:rFonts w:hint="eastAsia"/>
                <w:color w:val="auto"/>
                <w:spacing w:val="0"/>
                <w:position w:val="0"/>
                <w:sz w:val="21"/>
                <w:szCs w:val="21"/>
              </w:rPr>
              <w:t>更换的</w:t>
            </w:r>
            <w:r>
              <w:rPr>
                <w:rFonts w:hint="eastAsia"/>
                <w:color w:val="auto"/>
                <w:spacing w:val="0"/>
                <w:position w:val="0"/>
                <w:sz w:val="21"/>
                <w:szCs w:val="21"/>
                <w:lang w:val="en-US" w:eastAsia="zh-CN"/>
              </w:rPr>
              <w:t>矿物</w:t>
            </w:r>
            <w:r>
              <w:rPr>
                <w:rFonts w:hint="eastAsia"/>
                <w:color w:val="auto"/>
                <w:spacing w:val="0"/>
                <w:position w:val="0"/>
                <w:sz w:val="21"/>
                <w:szCs w:val="21"/>
              </w:rPr>
              <w:t>油、废</w:t>
            </w:r>
            <w:r>
              <w:rPr>
                <w:rFonts w:hint="eastAsia"/>
                <w:color w:val="auto"/>
                <w:spacing w:val="0"/>
                <w:position w:val="0"/>
                <w:sz w:val="21"/>
                <w:szCs w:val="21"/>
                <w:lang w:val="en-US" w:eastAsia="zh-CN"/>
              </w:rPr>
              <w:t>催化剂</w:t>
            </w:r>
            <w:r>
              <w:rPr>
                <w:rFonts w:hint="eastAsia"/>
                <w:color w:val="auto"/>
                <w:spacing w:val="0"/>
                <w:position w:val="0"/>
                <w:sz w:val="21"/>
                <w:szCs w:val="21"/>
              </w:rPr>
              <w:t>为危险废物，交由有资质的单位处理。</w:t>
            </w:r>
          </w:p>
        </w:tc>
      </w:tr>
      <w:tr w14:paraId="7C47C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54" w:type="dxa"/>
            <w:vAlign w:val="center"/>
          </w:tcPr>
          <w:p w14:paraId="3D454B8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rFonts w:hint="eastAsia" w:ascii="宋体" w:hAnsi="宋体" w:cs="宋体"/>
                <w:color w:val="auto"/>
                <w:spacing w:val="0"/>
                <w:position w:val="0"/>
                <w:sz w:val="21"/>
                <w:szCs w:val="21"/>
              </w:rPr>
              <w:t>土壤及地下水污染防治措施</w:t>
            </w:r>
          </w:p>
        </w:tc>
        <w:tc>
          <w:tcPr>
            <w:tcW w:w="7546" w:type="dxa"/>
            <w:gridSpan w:val="4"/>
            <w:vAlign w:val="center"/>
          </w:tcPr>
          <w:p w14:paraId="0D51B4EC">
            <w:pPr>
              <w:keepNext w:val="0"/>
              <w:keepLines w:val="0"/>
              <w:pageBreakBefore w:val="0"/>
              <w:widowControl w:val="0"/>
              <w:kinsoku/>
              <w:wordWrap/>
              <w:overflowPunct/>
              <w:topLinePunct w:val="0"/>
              <w:autoSpaceDE/>
              <w:autoSpaceDN/>
              <w:bidi w:val="0"/>
              <w:adjustRightInd/>
              <w:snapToGrid w:val="0"/>
              <w:spacing w:before="157" w:beforeLines="50" w:beforeAutospacing="0" w:afterAutospacing="0" w:line="360" w:lineRule="auto"/>
              <w:ind w:firstLine="560"/>
              <w:textAlignment w:val="baseline"/>
              <w:rPr>
                <w:color w:val="auto"/>
                <w:spacing w:val="0"/>
                <w:position w:val="0"/>
                <w:sz w:val="21"/>
                <w:szCs w:val="21"/>
              </w:rPr>
            </w:pPr>
            <w:r>
              <w:rPr>
                <w:color w:val="auto"/>
                <w:spacing w:val="0"/>
                <w:position w:val="0"/>
                <w:sz w:val="21"/>
                <w:szCs w:val="21"/>
              </w:rPr>
              <w:t>重点防渗区</w:t>
            </w:r>
            <w:r>
              <w:rPr>
                <w:rFonts w:hint="eastAsia"/>
                <w:color w:val="auto"/>
                <w:spacing w:val="0"/>
                <w:position w:val="0"/>
                <w:sz w:val="21"/>
                <w:szCs w:val="21"/>
              </w:rPr>
              <w:t>：</w:t>
            </w:r>
            <w:r>
              <w:rPr>
                <w:color w:val="auto"/>
                <w:spacing w:val="0"/>
                <w:position w:val="0"/>
                <w:sz w:val="21"/>
                <w:szCs w:val="21"/>
              </w:rPr>
              <w:t>重点污染防治区主要为</w:t>
            </w:r>
            <w:r>
              <w:rPr>
                <w:rFonts w:hint="eastAsia"/>
                <w:color w:val="auto"/>
                <w:spacing w:val="0"/>
                <w:position w:val="0"/>
                <w:sz w:val="21"/>
                <w:szCs w:val="21"/>
              </w:rPr>
              <w:t>危废暂存间</w:t>
            </w:r>
            <w:r>
              <w:rPr>
                <w:color w:val="auto"/>
                <w:spacing w:val="0"/>
                <w:position w:val="0"/>
                <w:sz w:val="21"/>
                <w:szCs w:val="21"/>
              </w:rPr>
              <w:t>，防渗措施如下：项目厂房采用10-15cm水泥硬化，表层涂环氧树脂，以达到防腐、防渗漏目的，等效黏土防渗层Mb≥6.0m，渗透系数≤1.0×10</w:t>
            </w:r>
            <w:r>
              <w:rPr>
                <w:color w:val="auto"/>
                <w:spacing w:val="0"/>
                <w:position w:val="0"/>
                <w:sz w:val="21"/>
                <w:szCs w:val="21"/>
                <w:vertAlign w:val="superscript"/>
              </w:rPr>
              <w:t>-7</w:t>
            </w:r>
            <w:r>
              <w:rPr>
                <w:color w:val="auto"/>
                <w:spacing w:val="0"/>
                <w:position w:val="0"/>
                <w:sz w:val="21"/>
                <w:szCs w:val="21"/>
              </w:rPr>
              <w:t>cm/s</w:t>
            </w:r>
            <w:r>
              <w:rPr>
                <w:rFonts w:hint="eastAsia"/>
                <w:color w:val="auto"/>
                <w:spacing w:val="0"/>
                <w:position w:val="0"/>
                <w:sz w:val="21"/>
                <w:szCs w:val="21"/>
              </w:rPr>
              <w:t>。</w:t>
            </w:r>
          </w:p>
          <w:p w14:paraId="52D23764">
            <w:pPr>
              <w:keepNext w:val="0"/>
              <w:keepLines w:val="0"/>
              <w:pageBreakBefore w:val="0"/>
              <w:kinsoku/>
              <w:wordWrap/>
              <w:overflowPunct/>
              <w:topLinePunct w:val="0"/>
              <w:autoSpaceDE/>
              <w:autoSpaceDN/>
              <w:bidi w:val="0"/>
              <w:adjustRightInd/>
              <w:snapToGrid w:val="0"/>
              <w:spacing w:beforeAutospacing="0" w:afterAutospacing="0" w:line="360" w:lineRule="auto"/>
              <w:ind w:firstLine="560"/>
              <w:textAlignment w:val="baseline"/>
              <w:rPr>
                <w:color w:val="auto"/>
                <w:spacing w:val="0"/>
                <w:position w:val="0"/>
                <w:sz w:val="21"/>
                <w:szCs w:val="21"/>
              </w:rPr>
            </w:pPr>
            <w:r>
              <w:rPr>
                <w:color w:val="auto"/>
                <w:spacing w:val="0"/>
                <w:position w:val="0"/>
                <w:sz w:val="21"/>
                <w:szCs w:val="21"/>
              </w:rPr>
              <w:t>一般防渗区</w:t>
            </w:r>
            <w:r>
              <w:rPr>
                <w:rFonts w:hint="eastAsia"/>
                <w:color w:val="auto"/>
                <w:spacing w:val="0"/>
                <w:position w:val="0"/>
                <w:sz w:val="21"/>
                <w:szCs w:val="21"/>
              </w:rPr>
              <w:t>：生产厂房重点防渗区之外区域，采取15-20cm的水泥进行硬化，其渗透系数</w:t>
            </w:r>
            <w:r>
              <w:rPr>
                <w:color w:val="auto"/>
                <w:spacing w:val="0"/>
                <w:position w:val="0"/>
                <w:sz w:val="21"/>
                <w:szCs w:val="21"/>
              </w:rPr>
              <w:t>≤</w:t>
            </w:r>
            <w:r>
              <w:rPr>
                <w:rFonts w:hint="eastAsia"/>
                <w:color w:val="auto"/>
                <w:spacing w:val="0"/>
                <w:position w:val="0"/>
                <w:sz w:val="21"/>
                <w:szCs w:val="21"/>
              </w:rPr>
              <w:t>1.0×10</w:t>
            </w:r>
            <w:r>
              <w:rPr>
                <w:rFonts w:hint="eastAsia"/>
                <w:color w:val="auto"/>
                <w:spacing w:val="0"/>
                <w:position w:val="0"/>
                <w:sz w:val="21"/>
                <w:szCs w:val="21"/>
                <w:vertAlign w:val="superscript"/>
              </w:rPr>
              <w:t>-7</w:t>
            </w:r>
            <w:r>
              <w:rPr>
                <w:rFonts w:hint="eastAsia"/>
                <w:color w:val="auto"/>
                <w:spacing w:val="0"/>
                <w:position w:val="0"/>
                <w:sz w:val="21"/>
                <w:szCs w:val="21"/>
              </w:rPr>
              <w:t>cm/s。</w:t>
            </w:r>
          </w:p>
          <w:p w14:paraId="0A76A58A">
            <w:pPr>
              <w:keepNext w:val="0"/>
              <w:keepLines w:val="0"/>
              <w:pageBreakBefore w:val="0"/>
              <w:kinsoku/>
              <w:wordWrap/>
              <w:overflowPunct/>
              <w:topLinePunct w:val="0"/>
              <w:autoSpaceDE/>
              <w:autoSpaceDN/>
              <w:bidi w:val="0"/>
              <w:adjustRightInd/>
              <w:snapToGrid w:val="0"/>
              <w:spacing w:beforeAutospacing="0" w:afterAutospacing="0" w:line="360" w:lineRule="auto"/>
              <w:ind w:firstLine="560"/>
              <w:textAlignment w:val="baseline"/>
              <w:rPr>
                <w:color w:val="auto"/>
                <w:spacing w:val="0"/>
                <w:position w:val="0"/>
                <w:sz w:val="21"/>
                <w:szCs w:val="21"/>
              </w:rPr>
            </w:pPr>
            <w:r>
              <w:rPr>
                <w:rFonts w:hint="eastAsia"/>
                <w:color w:val="auto"/>
                <w:spacing w:val="0"/>
                <w:position w:val="0"/>
                <w:sz w:val="21"/>
                <w:szCs w:val="21"/>
              </w:rPr>
              <w:t>一般硬化：厂区道路等不会对地下水造成污染的区域，一般地面硬化的方式进行防渗处理。</w:t>
            </w:r>
          </w:p>
        </w:tc>
      </w:tr>
      <w:tr w14:paraId="538D9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1254" w:type="dxa"/>
            <w:vAlign w:val="center"/>
          </w:tcPr>
          <w:p w14:paraId="2CE1BEA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生态保护措施</w:t>
            </w:r>
          </w:p>
        </w:tc>
        <w:tc>
          <w:tcPr>
            <w:tcW w:w="7546" w:type="dxa"/>
            <w:gridSpan w:val="4"/>
            <w:vAlign w:val="center"/>
          </w:tcPr>
          <w:p w14:paraId="4121AC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560"/>
              <w:textAlignment w:val="auto"/>
              <w:rPr>
                <w:color w:val="auto"/>
                <w:spacing w:val="0"/>
                <w:position w:val="0"/>
                <w:sz w:val="21"/>
                <w:szCs w:val="21"/>
              </w:rPr>
            </w:pPr>
            <w:r>
              <w:rPr>
                <w:rFonts w:hint="eastAsia"/>
                <w:color w:val="auto"/>
                <w:spacing w:val="0"/>
                <w:position w:val="0"/>
                <w:sz w:val="21"/>
                <w:szCs w:val="21"/>
              </w:rPr>
              <w:t>本项目对生态环境的影响主要集中在施工期，随着项目的建成运行，对生态的破坏和影响会逐步减弱直至消失。</w:t>
            </w:r>
          </w:p>
          <w:p w14:paraId="4E9BE786">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本项目建成后，在项目区适宜绿化区域种植本土植被，保持区域的植被覆盖率。在做好生态保护和补偿措施后，不仅能够美化厂区环境，还可以降低因施工造成的水土流失，使项目区范围内的生态环境质量得到提高。</w:t>
            </w:r>
          </w:p>
        </w:tc>
      </w:tr>
      <w:tr w14:paraId="3241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54" w:type="dxa"/>
            <w:vAlign w:val="center"/>
          </w:tcPr>
          <w:p w14:paraId="5714D03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环境风险防范措施</w:t>
            </w:r>
          </w:p>
        </w:tc>
        <w:tc>
          <w:tcPr>
            <w:tcW w:w="7546" w:type="dxa"/>
            <w:gridSpan w:val="4"/>
            <w:vAlign w:val="center"/>
          </w:tcPr>
          <w:p w14:paraId="214158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560"/>
              <w:textAlignment w:val="auto"/>
              <w:rPr>
                <w:color w:val="auto"/>
                <w:spacing w:val="0"/>
                <w:position w:val="0"/>
                <w:sz w:val="21"/>
                <w:szCs w:val="21"/>
              </w:rPr>
            </w:pPr>
            <w:r>
              <w:rPr>
                <w:rFonts w:hint="eastAsia"/>
                <w:color w:val="auto"/>
                <w:spacing w:val="0"/>
                <w:position w:val="0"/>
                <w:sz w:val="21"/>
                <w:szCs w:val="21"/>
              </w:rPr>
              <w:t>加强设备检查与维护，发现问题及时解决，在对设备进行大修时，严格检查，及时更换不宜再继续使用的配件。控制、降低空气中的粉尘浓度，严禁明火作业。</w:t>
            </w:r>
          </w:p>
          <w:p w14:paraId="47A9F055">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加强管理，明确岗位责任制，定期检查、维修、保养设备及构件，确保各种工艺、电气、除尘设备的正常运行，以及消防系统的可靠性。</w:t>
            </w:r>
          </w:p>
        </w:tc>
      </w:tr>
      <w:tr w14:paraId="08115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1254" w:type="dxa"/>
            <w:vAlign w:val="center"/>
          </w:tcPr>
          <w:p w14:paraId="18631C8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DDCCA6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78B1A7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B3B8BF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8BC4DB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7E2855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3F8587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0CEC13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748355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345851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319023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280417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934E40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3BF444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38484F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其他环境管理要求</w:t>
            </w:r>
          </w:p>
          <w:p w14:paraId="4F04520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DEC062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5208E4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55C218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7241D6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163BDE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2349D5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CE6F4A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C4B514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6764B7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27D8A8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59C9CB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04FEC4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5F0F07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C06FCD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1E4B1B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B109E8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50D14F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D9E5D1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556CB2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F724EF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97E876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39780C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277828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3A34DD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4DF98B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D21FD4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5CB4BB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3F5B2E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FA043B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90D67E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E1B12C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56E81D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FB1534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65620A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EDF8B8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BDED53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其他环境管理要求</w:t>
            </w:r>
          </w:p>
          <w:p w14:paraId="0001BA4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EC1DE5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D8966F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347746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1DB6DF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31D767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ABFEEE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5BE59D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BBDD3E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4D2A47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5895A0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3CC6E1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DB82D4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438B37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AB4F54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8F685C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DF5FE9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29C407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A07BE0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8E5767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83E5BD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A7937B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DBE76A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E528EF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F0B7BF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BD184F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1D617C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14063A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0917E1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8D396C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E436C7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A1E2AD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7C6F93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76DF81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5E1F27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A94121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72E68F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BA23C1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9F5503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522A1B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703E03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8063C2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07A9BE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455B50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6CDB5E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1F4AC6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DFFC3A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A08C85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03AC9B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F988D7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6D11AC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0419C4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E8B49D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674015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BA8E21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6E36AB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其他环境管理要求</w:t>
            </w:r>
          </w:p>
          <w:p w14:paraId="40037D9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7526D4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BB4CA4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03294D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7830F9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E04FC6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054DFD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A556A9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49D361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11C082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4A04B0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3FAB5B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1FEC38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CF2909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6434FB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C09E24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DC072A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0A80AD4">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3748D6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E1B0DC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E79F9C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716719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DED8D1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3F3CC2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140B8C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3A9635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CAEBDE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AA3A59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7BD68E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BA8F97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3AE81D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A7090A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E7BCC2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11EE40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FCC301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9BF14C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820E131">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20F7C4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08F838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E5DB39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B41FA9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596651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5D47DE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68A7DB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D5BCAA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E9F564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9FF6F3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44DD4B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D50A8B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E6CEC8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C3F2A4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r>
              <w:rPr>
                <w:color w:val="auto"/>
                <w:spacing w:val="0"/>
                <w:position w:val="0"/>
                <w:sz w:val="21"/>
                <w:szCs w:val="21"/>
              </w:rPr>
              <w:t>其他环境管理要求</w:t>
            </w:r>
          </w:p>
          <w:p w14:paraId="07B7334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91F599C">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2D3DFB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1A222E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BB633F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B7BB79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39CF7F2">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F87F51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363795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99139E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41872E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AB33DB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3491B7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D75738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53D2C6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996C0BA">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2E07CD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036C866">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AA7595B">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6F5C1D08">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E43627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447E87F">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70256A4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06BE96D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14160043">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B512D9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2818E0BE">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437B5217">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3D9051F0">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F9EF4A9">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p w14:paraId="5AD0E855">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color w:val="auto"/>
                <w:spacing w:val="0"/>
                <w:position w:val="0"/>
                <w:sz w:val="21"/>
                <w:szCs w:val="21"/>
              </w:rPr>
            </w:pPr>
          </w:p>
        </w:tc>
        <w:tc>
          <w:tcPr>
            <w:tcW w:w="7546" w:type="dxa"/>
            <w:gridSpan w:val="4"/>
            <w:vAlign w:val="center"/>
          </w:tcPr>
          <w:p w14:paraId="4921BFFE">
            <w:pPr>
              <w:keepNext w:val="0"/>
              <w:keepLines w:val="0"/>
              <w:pageBreakBefore w:val="0"/>
              <w:kinsoku/>
              <w:wordWrap/>
              <w:overflowPunct/>
              <w:topLinePunct w:val="0"/>
              <w:autoSpaceDE/>
              <w:autoSpaceDN/>
              <w:bidi w:val="0"/>
              <w:adjustRightInd/>
              <w:spacing w:beforeAutospacing="0" w:afterAutospacing="0" w:line="360" w:lineRule="auto"/>
              <w:ind w:firstLine="0" w:firstLineChars="0"/>
              <w:rPr>
                <w:b/>
                <w:bCs/>
                <w:color w:val="auto"/>
                <w:spacing w:val="0"/>
                <w:position w:val="0"/>
                <w:sz w:val="21"/>
                <w:szCs w:val="21"/>
              </w:rPr>
            </w:pPr>
            <w:r>
              <w:rPr>
                <w:rFonts w:hint="eastAsia"/>
                <w:b/>
                <w:bCs/>
                <w:color w:val="auto"/>
                <w:spacing w:val="0"/>
                <w:position w:val="0"/>
                <w:sz w:val="21"/>
                <w:szCs w:val="21"/>
                <w:lang w:val="en-US" w:eastAsia="zh-CN"/>
              </w:rPr>
              <w:t>1</w:t>
            </w:r>
            <w:r>
              <w:rPr>
                <w:rFonts w:hint="eastAsia"/>
                <w:b/>
                <w:bCs/>
                <w:color w:val="auto"/>
                <w:spacing w:val="0"/>
                <w:position w:val="0"/>
                <w:sz w:val="21"/>
                <w:szCs w:val="21"/>
              </w:rPr>
              <w:t>项目环保投资</w:t>
            </w:r>
          </w:p>
          <w:p w14:paraId="71A784C3">
            <w:pPr>
              <w:keepNext w:val="0"/>
              <w:keepLines w:val="0"/>
              <w:pageBreakBefore w:val="0"/>
              <w:kinsoku/>
              <w:wordWrap/>
              <w:overflowPunct/>
              <w:topLinePunct w:val="0"/>
              <w:autoSpaceDE/>
              <w:autoSpaceDN/>
              <w:bidi w:val="0"/>
              <w:adjustRightInd/>
              <w:spacing w:beforeAutospacing="0" w:afterAutospacing="0" w:line="360" w:lineRule="auto"/>
              <w:ind w:firstLine="560"/>
              <w:rPr>
                <w:rFonts w:hint="eastAsia"/>
                <w:color w:val="auto"/>
                <w:spacing w:val="0"/>
                <w:position w:val="0"/>
                <w:sz w:val="21"/>
                <w:szCs w:val="21"/>
              </w:rPr>
            </w:pPr>
            <w:r>
              <w:rPr>
                <w:rFonts w:hint="eastAsia"/>
                <w:color w:val="auto"/>
                <w:spacing w:val="0"/>
                <w:position w:val="0"/>
                <w:sz w:val="21"/>
                <w:szCs w:val="21"/>
              </w:rPr>
              <w:t>项目总投资</w:t>
            </w:r>
            <w:r>
              <w:rPr>
                <w:rFonts w:hint="eastAsia"/>
                <w:color w:val="auto"/>
                <w:spacing w:val="0"/>
                <w:position w:val="0"/>
                <w:sz w:val="21"/>
                <w:szCs w:val="21"/>
                <w:lang w:val="en-US" w:eastAsia="zh-CN"/>
              </w:rPr>
              <w:t>2000</w:t>
            </w:r>
            <w:r>
              <w:rPr>
                <w:rFonts w:hint="eastAsia"/>
                <w:color w:val="auto"/>
                <w:spacing w:val="0"/>
                <w:position w:val="0"/>
                <w:sz w:val="21"/>
                <w:szCs w:val="21"/>
              </w:rPr>
              <w:t>万元，其中环保投资为</w:t>
            </w:r>
            <w:r>
              <w:rPr>
                <w:rFonts w:hint="eastAsia"/>
                <w:color w:val="auto"/>
                <w:spacing w:val="0"/>
                <w:position w:val="0"/>
                <w:sz w:val="21"/>
                <w:szCs w:val="21"/>
                <w:lang w:val="en-US" w:eastAsia="zh-CN"/>
              </w:rPr>
              <w:t>25</w:t>
            </w:r>
            <w:r>
              <w:rPr>
                <w:rFonts w:hint="eastAsia"/>
                <w:color w:val="auto"/>
                <w:spacing w:val="0"/>
                <w:position w:val="0"/>
                <w:sz w:val="21"/>
                <w:szCs w:val="21"/>
              </w:rPr>
              <w:t>万元，占工程总投资比例为</w:t>
            </w:r>
            <w:r>
              <w:rPr>
                <w:rFonts w:hint="eastAsia"/>
                <w:color w:val="auto"/>
                <w:spacing w:val="0"/>
                <w:position w:val="0"/>
                <w:sz w:val="21"/>
                <w:szCs w:val="21"/>
                <w:lang w:val="en-US" w:eastAsia="zh-CN"/>
              </w:rPr>
              <w:t>1.25</w:t>
            </w:r>
            <w:r>
              <w:rPr>
                <w:color w:val="auto"/>
                <w:spacing w:val="0"/>
                <w:position w:val="0"/>
                <w:sz w:val="21"/>
                <w:szCs w:val="21"/>
              </w:rPr>
              <w:t>%</w:t>
            </w:r>
            <w:r>
              <w:rPr>
                <w:rFonts w:hint="eastAsia"/>
                <w:color w:val="auto"/>
                <w:spacing w:val="0"/>
                <w:position w:val="0"/>
                <w:sz w:val="21"/>
                <w:szCs w:val="21"/>
              </w:rPr>
              <w:t>。环保投资情况详见表</w:t>
            </w:r>
            <w:r>
              <w:rPr>
                <w:rFonts w:hint="eastAsia"/>
                <w:color w:val="auto"/>
                <w:spacing w:val="0"/>
                <w:position w:val="0"/>
                <w:sz w:val="21"/>
                <w:szCs w:val="21"/>
                <w:lang w:val="en-US" w:eastAsia="zh-CN"/>
              </w:rPr>
              <w:t>5-1</w:t>
            </w:r>
            <w:r>
              <w:rPr>
                <w:rFonts w:hint="eastAsia"/>
                <w:color w:val="auto"/>
                <w:spacing w:val="0"/>
                <w:position w:val="0"/>
                <w:sz w:val="21"/>
                <w:szCs w:val="21"/>
              </w:rPr>
              <w:t>。</w:t>
            </w:r>
          </w:p>
          <w:p w14:paraId="6036A7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en-US" w:eastAsia="zh-CN" w:bidi="ar-SA"/>
              </w:rPr>
            </w:pPr>
            <w:r>
              <w:rPr>
                <w:rFonts w:hint="eastAsia" w:ascii="Times New Roman" w:hAnsi="Times New Roman" w:eastAsia="宋体" w:cs="Times New Roman"/>
                <w:b/>
                <w:snapToGrid w:val="0"/>
                <w:color w:val="auto"/>
                <w:spacing w:val="0"/>
                <w:kern w:val="0"/>
                <w:position w:val="0"/>
                <w:sz w:val="21"/>
                <w:szCs w:val="21"/>
                <w:lang w:val="en-US" w:eastAsia="zh-CN" w:bidi="ar-SA"/>
              </w:rPr>
              <w:t>表5-1   项目环保投资估算</w:t>
            </w:r>
          </w:p>
          <w:tbl>
            <w:tblPr>
              <w:tblStyle w:val="31"/>
              <w:tblW w:w="4998"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581"/>
              <w:gridCol w:w="656"/>
              <w:gridCol w:w="2045"/>
              <w:gridCol w:w="3419"/>
              <w:gridCol w:w="597"/>
            </w:tblGrid>
            <w:tr w14:paraId="2ACF72AA">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c>
                <w:tcPr>
                  <w:tcW w:w="398" w:type="pct"/>
                  <w:tcBorders>
                    <w:tl2br w:val="nil"/>
                    <w:tr2bl w:val="nil"/>
                  </w:tcBorders>
                  <w:vAlign w:val="center"/>
                </w:tcPr>
                <w:p w14:paraId="5BBBB39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序号</w:t>
                  </w:r>
                </w:p>
              </w:tc>
              <w:tc>
                <w:tcPr>
                  <w:tcW w:w="1850" w:type="pct"/>
                  <w:gridSpan w:val="2"/>
                  <w:tcBorders>
                    <w:tl2br w:val="nil"/>
                    <w:tr2bl w:val="nil"/>
                  </w:tcBorders>
                  <w:vAlign w:val="center"/>
                </w:tcPr>
                <w:p w14:paraId="3A2678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污染源</w:t>
                  </w:r>
                </w:p>
              </w:tc>
              <w:tc>
                <w:tcPr>
                  <w:tcW w:w="2342" w:type="pct"/>
                  <w:tcBorders>
                    <w:tl2br w:val="nil"/>
                    <w:tr2bl w:val="nil"/>
                  </w:tcBorders>
                  <w:vAlign w:val="center"/>
                </w:tcPr>
                <w:p w14:paraId="30DB2FB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治理措施</w:t>
                  </w:r>
                </w:p>
              </w:tc>
              <w:tc>
                <w:tcPr>
                  <w:tcW w:w="409" w:type="pct"/>
                  <w:tcBorders>
                    <w:tl2br w:val="nil"/>
                    <w:tr2bl w:val="nil"/>
                  </w:tcBorders>
                  <w:vAlign w:val="center"/>
                </w:tcPr>
                <w:p w14:paraId="3C44CB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投资</w:t>
                  </w:r>
                </w:p>
              </w:tc>
            </w:tr>
            <w:tr w14:paraId="249075E8">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64" w:hRule="atLeast"/>
              </w:trPr>
              <w:tc>
                <w:tcPr>
                  <w:tcW w:w="398" w:type="pct"/>
                  <w:tcBorders>
                    <w:tl2br w:val="nil"/>
                    <w:tr2bl w:val="nil"/>
                  </w:tcBorders>
                  <w:vAlign w:val="center"/>
                </w:tcPr>
                <w:p w14:paraId="0513BC6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1</w:t>
                  </w:r>
                </w:p>
              </w:tc>
              <w:tc>
                <w:tcPr>
                  <w:tcW w:w="449" w:type="pct"/>
                  <w:vMerge w:val="restart"/>
                  <w:tcBorders>
                    <w:tl2br w:val="nil"/>
                    <w:tr2bl w:val="nil"/>
                  </w:tcBorders>
                  <w:vAlign w:val="center"/>
                </w:tcPr>
                <w:p w14:paraId="13CF82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废气</w:t>
                  </w:r>
                </w:p>
              </w:tc>
              <w:tc>
                <w:tcPr>
                  <w:tcW w:w="1401" w:type="pct"/>
                  <w:vMerge w:val="restart"/>
                  <w:tcBorders>
                    <w:tl2br w:val="nil"/>
                    <w:tr2bl w:val="nil"/>
                  </w:tcBorders>
                  <w:vAlign w:val="center"/>
                </w:tcPr>
                <w:p w14:paraId="3665B12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position w:val="0"/>
                      <w:sz w:val="21"/>
                      <w:szCs w:val="21"/>
                      <w:lang w:val="en-US" w:eastAsia="zh-CN"/>
                    </w:rPr>
                    <w:t>塑料产品</w:t>
                  </w:r>
                  <w:r>
                    <w:rPr>
                      <w:rFonts w:hint="eastAsia"/>
                      <w:color w:val="auto"/>
                      <w:spacing w:val="0"/>
                      <w:position w:val="0"/>
                      <w:sz w:val="21"/>
                      <w:szCs w:val="21"/>
                    </w:rPr>
                    <w:t>生产线</w:t>
                  </w:r>
                </w:p>
              </w:tc>
              <w:tc>
                <w:tcPr>
                  <w:tcW w:w="2342" w:type="pct"/>
                  <w:tcBorders>
                    <w:tl2br w:val="nil"/>
                    <w:tr2bl w:val="nil"/>
                  </w:tcBorders>
                  <w:vAlign w:val="center"/>
                </w:tcPr>
                <w:p w14:paraId="188E770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bidi="ar"/>
                    </w:rPr>
                    <w:t>破碎与混料过程产生的颗粒物设置布袋除尘器</w:t>
                  </w:r>
                </w:p>
              </w:tc>
              <w:tc>
                <w:tcPr>
                  <w:tcW w:w="409" w:type="pct"/>
                  <w:tcBorders>
                    <w:tl2br w:val="nil"/>
                    <w:tr2bl w:val="nil"/>
                  </w:tcBorders>
                  <w:vAlign w:val="center"/>
                </w:tcPr>
                <w:p w14:paraId="3091FE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5</w:t>
                  </w:r>
                </w:p>
              </w:tc>
            </w:tr>
            <w:tr w14:paraId="675550E3">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41" w:hRule="atLeast"/>
              </w:trPr>
              <w:tc>
                <w:tcPr>
                  <w:tcW w:w="398" w:type="pct"/>
                  <w:tcBorders>
                    <w:tl2br w:val="nil"/>
                    <w:tr2bl w:val="nil"/>
                  </w:tcBorders>
                  <w:vAlign w:val="center"/>
                </w:tcPr>
                <w:p w14:paraId="7D71DE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position w:val="0"/>
                      <w:sz w:val="21"/>
                      <w:szCs w:val="21"/>
                      <w:lang w:val="en-US" w:eastAsia="zh-CN"/>
                    </w:rPr>
                  </w:pPr>
                  <w:r>
                    <w:rPr>
                      <w:rFonts w:hint="eastAsia"/>
                      <w:color w:val="auto"/>
                      <w:spacing w:val="0"/>
                      <w:position w:val="0"/>
                      <w:sz w:val="21"/>
                      <w:szCs w:val="21"/>
                      <w:lang w:val="en-US" w:eastAsia="zh-CN"/>
                    </w:rPr>
                    <w:t>2</w:t>
                  </w:r>
                </w:p>
              </w:tc>
              <w:tc>
                <w:tcPr>
                  <w:tcW w:w="449" w:type="pct"/>
                  <w:vMerge w:val="continue"/>
                  <w:tcBorders>
                    <w:tl2br w:val="nil"/>
                    <w:tr2bl w:val="nil"/>
                  </w:tcBorders>
                  <w:vAlign w:val="center"/>
                </w:tcPr>
                <w:p w14:paraId="042CB2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position w:val="0"/>
                      <w:sz w:val="21"/>
                      <w:szCs w:val="21"/>
                    </w:rPr>
                  </w:pPr>
                </w:p>
              </w:tc>
              <w:tc>
                <w:tcPr>
                  <w:tcW w:w="1401" w:type="pct"/>
                  <w:vMerge w:val="continue"/>
                  <w:tcBorders>
                    <w:tl2br w:val="nil"/>
                    <w:tr2bl w:val="nil"/>
                  </w:tcBorders>
                  <w:vAlign w:val="center"/>
                </w:tcPr>
                <w:p w14:paraId="595F565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position w:val="0"/>
                      <w:sz w:val="21"/>
                      <w:szCs w:val="21"/>
                    </w:rPr>
                  </w:pPr>
                </w:p>
              </w:tc>
              <w:tc>
                <w:tcPr>
                  <w:tcW w:w="2342" w:type="pct"/>
                  <w:tcBorders>
                    <w:tl2br w:val="nil"/>
                    <w:tr2bl w:val="nil"/>
                  </w:tcBorders>
                  <w:vAlign w:val="center"/>
                </w:tcPr>
                <w:p w14:paraId="27A1008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bidi="ar"/>
                    </w:rPr>
                  </w:pPr>
                  <w:r>
                    <w:rPr>
                      <w:rFonts w:hint="eastAsia"/>
                      <w:color w:val="auto"/>
                      <w:spacing w:val="0"/>
                      <w:kern w:val="0"/>
                      <w:position w:val="0"/>
                      <w:sz w:val="21"/>
                      <w:szCs w:val="21"/>
                      <w:lang w:val="en-US" w:eastAsia="zh-CN" w:bidi="ar"/>
                    </w:rPr>
                    <w:t>挤出过程产生的有机废气设置活性炭吸附脱附加催化燃烧器</w:t>
                  </w:r>
                </w:p>
              </w:tc>
              <w:tc>
                <w:tcPr>
                  <w:tcW w:w="409" w:type="pct"/>
                  <w:tcBorders>
                    <w:tl2br w:val="nil"/>
                    <w:tr2bl w:val="nil"/>
                  </w:tcBorders>
                  <w:vAlign w:val="center"/>
                </w:tcPr>
                <w:p w14:paraId="1936F4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bidi="ar"/>
                    </w:rPr>
                  </w:pPr>
                  <w:r>
                    <w:rPr>
                      <w:rFonts w:hint="eastAsia"/>
                      <w:color w:val="auto"/>
                      <w:spacing w:val="0"/>
                      <w:kern w:val="0"/>
                      <w:position w:val="0"/>
                      <w:sz w:val="21"/>
                      <w:szCs w:val="21"/>
                      <w:lang w:val="en-US" w:eastAsia="zh-CN"/>
                    </w:rPr>
                    <w:t>10</w:t>
                  </w:r>
                </w:p>
              </w:tc>
            </w:tr>
            <w:tr w14:paraId="58B8AF82">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229" w:hRule="atLeast"/>
              </w:trPr>
              <w:tc>
                <w:tcPr>
                  <w:tcW w:w="398" w:type="pct"/>
                  <w:tcBorders>
                    <w:tl2br w:val="nil"/>
                    <w:tr2bl w:val="nil"/>
                  </w:tcBorders>
                  <w:vAlign w:val="center"/>
                </w:tcPr>
                <w:p w14:paraId="48B23C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3</w:t>
                  </w:r>
                </w:p>
              </w:tc>
              <w:tc>
                <w:tcPr>
                  <w:tcW w:w="449" w:type="pct"/>
                  <w:tcBorders>
                    <w:tl2br w:val="nil"/>
                    <w:tr2bl w:val="nil"/>
                  </w:tcBorders>
                  <w:vAlign w:val="center"/>
                </w:tcPr>
                <w:p w14:paraId="07D39DE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噪声</w:t>
                  </w:r>
                </w:p>
              </w:tc>
              <w:tc>
                <w:tcPr>
                  <w:tcW w:w="1401" w:type="pct"/>
                  <w:tcBorders>
                    <w:tl2br w:val="nil"/>
                    <w:tr2bl w:val="nil"/>
                  </w:tcBorders>
                  <w:vAlign w:val="center"/>
                </w:tcPr>
                <w:p w14:paraId="5F3C9F9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设备噪声</w:t>
                  </w:r>
                </w:p>
              </w:tc>
              <w:tc>
                <w:tcPr>
                  <w:tcW w:w="2342" w:type="pct"/>
                  <w:tcBorders>
                    <w:tl2br w:val="nil"/>
                    <w:tr2bl w:val="nil"/>
                  </w:tcBorders>
                  <w:vAlign w:val="center"/>
                </w:tcPr>
                <w:p w14:paraId="627F21E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选取低噪声设备，</w:t>
                  </w:r>
                  <w:r>
                    <w:rPr>
                      <w:rFonts w:hint="eastAsia"/>
                      <w:color w:val="auto"/>
                      <w:spacing w:val="0"/>
                      <w:kern w:val="0"/>
                      <w:position w:val="0"/>
                      <w:sz w:val="21"/>
                      <w:szCs w:val="21"/>
                      <w:lang w:val="en-US" w:eastAsia="zh-CN"/>
                    </w:rPr>
                    <w:t>及时维修保养设备，</w:t>
                  </w:r>
                  <w:r>
                    <w:rPr>
                      <w:color w:val="auto"/>
                      <w:spacing w:val="0"/>
                      <w:kern w:val="0"/>
                      <w:position w:val="0"/>
                      <w:sz w:val="21"/>
                      <w:szCs w:val="21"/>
                    </w:rPr>
                    <w:t>基础减振，厂房隔声；</w:t>
                  </w:r>
                </w:p>
              </w:tc>
              <w:tc>
                <w:tcPr>
                  <w:tcW w:w="409" w:type="pct"/>
                  <w:tcBorders>
                    <w:tl2br w:val="nil"/>
                    <w:tr2bl w:val="nil"/>
                  </w:tcBorders>
                  <w:vAlign w:val="center"/>
                </w:tcPr>
                <w:p w14:paraId="535561E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1</w:t>
                  </w:r>
                </w:p>
              </w:tc>
            </w:tr>
            <w:tr w14:paraId="3249E1DB">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545" w:hRule="atLeast"/>
              </w:trPr>
              <w:tc>
                <w:tcPr>
                  <w:tcW w:w="398" w:type="pct"/>
                  <w:tcBorders>
                    <w:tl2br w:val="nil"/>
                    <w:tr2bl w:val="nil"/>
                  </w:tcBorders>
                  <w:vAlign w:val="center"/>
                </w:tcPr>
                <w:p w14:paraId="258F8A4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4</w:t>
                  </w:r>
                </w:p>
              </w:tc>
              <w:tc>
                <w:tcPr>
                  <w:tcW w:w="449" w:type="pct"/>
                  <w:tcBorders>
                    <w:tl2br w:val="nil"/>
                    <w:tr2bl w:val="nil"/>
                  </w:tcBorders>
                  <w:vAlign w:val="center"/>
                </w:tcPr>
                <w:p w14:paraId="0017038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废水</w:t>
                  </w:r>
                </w:p>
              </w:tc>
              <w:tc>
                <w:tcPr>
                  <w:tcW w:w="1401" w:type="pct"/>
                  <w:tcBorders>
                    <w:tl2br w:val="nil"/>
                    <w:tr2bl w:val="nil"/>
                  </w:tcBorders>
                  <w:vAlign w:val="center"/>
                </w:tcPr>
                <w:p w14:paraId="6553C0B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rPr>
                    <w:t>生活废水</w:t>
                  </w:r>
                </w:p>
              </w:tc>
              <w:tc>
                <w:tcPr>
                  <w:tcW w:w="2342" w:type="pct"/>
                  <w:tcBorders>
                    <w:tl2br w:val="nil"/>
                    <w:tr2bl w:val="nil"/>
                  </w:tcBorders>
                  <w:vAlign w:val="center"/>
                </w:tcPr>
                <w:p w14:paraId="60C41A2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依托现有园区污水管网，由</w:t>
                  </w:r>
                  <w:r>
                    <w:rPr>
                      <w:rFonts w:hint="eastAsia"/>
                      <w:color w:val="auto"/>
                      <w:spacing w:val="0"/>
                      <w:position w:val="0"/>
                      <w:sz w:val="21"/>
                      <w:szCs w:val="21"/>
                      <w:lang w:val="en-US" w:eastAsia="zh-CN"/>
                    </w:rPr>
                    <w:t>天北经开区污水处理厂处理</w:t>
                  </w:r>
                </w:p>
              </w:tc>
              <w:tc>
                <w:tcPr>
                  <w:tcW w:w="409" w:type="pct"/>
                  <w:tcBorders>
                    <w:tl2br w:val="nil"/>
                    <w:tr2bl w:val="nil"/>
                  </w:tcBorders>
                  <w:vAlign w:val="center"/>
                </w:tcPr>
                <w:p w14:paraId="0A6660D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rPr>
                    <w:t>/</w:t>
                  </w:r>
                </w:p>
              </w:tc>
            </w:tr>
            <w:tr w14:paraId="0A456F7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c>
                <w:tcPr>
                  <w:tcW w:w="398" w:type="pct"/>
                  <w:tcBorders>
                    <w:tl2br w:val="nil"/>
                    <w:tr2bl w:val="nil"/>
                  </w:tcBorders>
                  <w:vAlign w:val="center"/>
                </w:tcPr>
                <w:p w14:paraId="217B93C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5</w:t>
                  </w:r>
                </w:p>
              </w:tc>
              <w:tc>
                <w:tcPr>
                  <w:tcW w:w="449" w:type="pct"/>
                  <w:vMerge w:val="restart"/>
                  <w:tcBorders>
                    <w:tl2br w:val="nil"/>
                    <w:tr2bl w:val="nil"/>
                  </w:tcBorders>
                  <w:vAlign w:val="center"/>
                </w:tcPr>
                <w:p w14:paraId="2001E89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固体废物</w:t>
                  </w:r>
                </w:p>
              </w:tc>
              <w:tc>
                <w:tcPr>
                  <w:tcW w:w="1401" w:type="pct"/>
                  <w:tcBorders>
                    <w:tl2br w:val="nil"/>
                    <w:tr2bl w:val="nil"/>
                  </w:tcBorders>
                  <w:vAlign w:val="center"/>
                </w:tcPr>
                <w:p w14:paraId="41911A5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生活</w:t>
                  </w:r>
                  <w:r>
                    <w:rPr>
                      <w:rFonts w:hint="eastAsia"/>
                      <w:color w:val="auto"/>
                      <w:spacing w:val="0"/>
                      <w:kern w:val="0"/>
                      <w:position w:val="0"/>
                      <w:sz w:val="21"/>
                      <w:szCs w:val="21"/>
                    </w:rPr>
                    <w:t>垃圾</w:t>
                  </w:r>
                </w:p>
              </w:tc>
              <w:tc>
                <w:tcPr>
                  <w:tcW w:w="2342" w:type="pct"/>
                  <w:vMerge w:val="restart"/>
                  <w:tcBorders>
                    <w:tl2br w:val="nil"/>
                    <w:tr2bl w:val="nil"/>
                  </w:tcBorders>
                  <w:vAlign w:val="center"/>
                </w:tcPr>
                <w:p w14:paraId="51A8FEC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厂区设置</w:t>
                  </w:r>
                  <w:r>
                    <w:rPr>
                      <w:rFonts w:hint="eastAsia"/>
                      <w:color w:val="auto"/>
                      <w:spacing w:val="0"/>
                      <w:kern w:val="0"/>
                      <w:position w:val="0"/>
                      <w:sz w:val="21"/>
                      <w:szCs w:val="21"/>
                    </w:rPr>
                    <w:t>分类</w:t>
                  </w:r>
                  <w:r>
                    <w:rPr>
                      <w:color w:val="auto"/>
                      <w:spacing w:val="0"/>
                      <w:kern w:val="0"/>
                      <w:position w:val="0"/>
                      <w:sz w:val="21"/>
                      <w:szCs w:val="21"/>
                    </w:rPr>
                    <w:t>垃圾桶，由环卫部门定期清运处理。</w:t>
                  </w:r>
                </w:p>
              </w:tc>
              <w:tc>
                <w:tcPr>
                  <w:tcW w:w="409" w:type="pct"/>
                  <w:vMerge w:val="restart"/>
                  <w:tcBorders>
                    <w:tl2br w:val="nil"/>
                    <w:tr2bl w:val="nil"/>
                  </w:tcBorders>
                  <w:vAlign w:val="center"/>
                </w:tcPr>
                <w:p w14:paraId="4FBCA53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1</w:t>
                  </w:r>
                </w:p>
              </w:tc>
            </w:tr>
            <w:tr w14:paraId="0426D64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90" w:hRule="atLeast"/>
              </w:trPr>
              <w:tc>
                <w:tcPr>
                  <w:tcW w:w="398" w:type="pct"/>
                  <w:tcBorders>
                    <w:tl2br w:val="nil"/>
                    <w:tr2bl w:val="nil"/>
                  </w:tcBorders>
                  <w:vAlign w:val="center"/>
                </w:tcPr>
                <w:p w14:paraId="6809AD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6</w:t>
                  </w:r>
                </w:p>
              </w:tc>
              <w:tc>
                <w:tcPr>
                  <w:tcW w:w="449" w:type="pct"/>
                  <w:vMerge w:val="continue"/>
                  <w:tcBorders>
                    <w:tl2br w:val="nil"/>
                    <w:tr2bl w:val="nil"/>
                  </w:tcBorders>
                  <w:vAlign w:val="center"/>
                </w:tcPr>
                <w:p w14:paraId="7826366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p>
              </w:tc>
              <w:tc>
                <w:tcPr>
                  <w:tcW w:w="1401" w:type="pct"/>
                  <w:tcBorders>
                    <w:tl2br w:val="nil"/>
                    <w:tr2bl w:val="nil"/>
                  </w:tcBorders>
                  <w:vAlign w:val="center"/>
                </w:tcPr>
                <w:p w14:paraId="0E4BFE9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rPr>
                    <w:t>废包装袋</w:t>
                  </w:r>
                </w:p>
              </w:tc>
              <w:tc>
                <w:tcPr>
                  <w:tcW w:w="2342" w:type="pct"/>
                  <w:vMerge w:val="continue"/>
                  <w:tcBorders>
                    <w:tl2br w:val="nil"/>
                    <w:tr2bl w:val="nil"/>
                  </w:tcBorders>
                  <w:vAlign w:val="center"/>
                </w:tcPr>
                <w:p w14:paraId="2120924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p>
              </w:tc>
              <w:tc>
                <w:tcPr>
                  <w:tcW w:w="409" w:type="pct"/>
                  <w:vMerge w:val="continue"/>
                  <w:tcBorders>
                    <w:tl2br w:val="nil"/>
                    <w:tr2bl w:val="nil"/>
                  </w:tcBorders>
                  <w:vAlign w:val="center"/>
                </w:tcPr>
                <w:p w14:paraId="04E6DE2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p>
              </w:tc>
            </w:tr>
            <w:tr w14:paraId="3930DBF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c>
                <w:tcPr>
                  <w:tcW w:w="398" w:type="pct"/>
                  <w:tcBorders>
                    <w:tl2br w:val="nil"/>
                    <w:tr2bl w:val="nil"/>
                  </w:tcBorders>
                  <w:vAlign w:val="center"/>
                </w:tcPr>
                <w:p w14:paraId="2097A0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7</w:t>
                  </w:r>
                </w:p>
              </w:tc>
              <w:tc>
                <w:tcPr>
                  <w:tcW w:w="449" w:type="pct"/>
                  <w:vMerge w:val="continue"/>
                  <w:tcBorders>
                    <w:tl2br w:val="nil"/>
                    <w:tr2bl w:val="nil"/>
                  </w:tcBorders>
                  <w:vAlign w:val="center"/>
                </w:tcPr>
                <w:p w14:paraId="7B6C0D3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p>
              </w:tc>
              <w:tc>
                <w:tcPr>
                  <w:tcW w:w="1401" w:type="pct"/>
                  <w:tcBorders>
                    <w:tl2br w:val="nil"/>
                    <w:tr2bl w:val="nil"/>
                  </w:tcBorders>
                  <w:vAlign w:val="center"/>
                </w:tcPr>
                <w:p w14:paraId="36BF40D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rPr>
                    <w:t>危险废物</w:t>
                  </w:r>
                </w:p>
              </w:tc>
              <w:tc>
                <w:tcPr>
                  <w:tcW w:w="2342" w:type="pct"/>
                  <w:tcBorders>
                    <w:tl2br w:val="nil"/>
                    <w:tr2bl w:val="nil"/>
                  </w:tcBorders>
                  <w:vAlign w:val="center"/>
                </w:tcPr>
                <w:p w14:paraId="6EFD624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rFonts w:hint="eastAsia"/>
                      <w:color w:val="auto"/>
                      <w:spacing w:val="0"/>
                      <w:kern w:val="0"/>
                      <w:position w:val="0"/>
                      <w:sz w:val="21"/>
                      <w:szCs w:val="21"/>
                      <w:lang w:val="en-US" w:eastAsia="zh-CN"/>
                    </w:rPr>
                    <w:t>在车间西侧新建5m</w:t>
                  </w:r>
                  <w:r>
                    <w:rPr>
                      <w:rFonts w:hint="eastAsia"/>
                      <w:color w:val="auto"/>
                      <w:spacing w:val="0"/>
                      <w:kern w:val="0"/>
                      <w:position w:val="0"/>
                      <w:sz w:val="21"/>
                      <w:szCs w:val="21"/>
                      <w:vertAlign w:val="superscript"/>
                      <w:lang w:val="en-US" w:eastAsia="zh-CN"/>
                    </w:rPr>
                    <w:t>2</w:t>
                  </w:r>
                  <w:r>
                    <w:rPr>
                      <w:rFonts w:hint="eastAsia"/>
                      <w:color w:val="auto"/>
                      <w:spacing w:val="0"/>
                      <w:kern w:val="0"/>
                      <w:position w:val="0"/>
                      <w:sz w:val="21"/>
                      <w:szCs w:val="21"/>
                    </w:rPr>
                    <w:t>危废暂存间</w:t>
                  </w:r>
                </w:p>
              </w:tc>
              <w:tc>
                <w:tcPr>
                  <w:tcW w:w="409" w:type="pct"/>
                  <w:tcBorders>
                    <w:tl2br w:val="nil"/>
                    <w:tr2bl w:val="nil"/>
                  </w:tcBorders>
                  <w:vAlign w:val="center"/>
                </w:tcPr>
                <w:p w14:paraId="109B266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2</w:t>
                  </w:r>
                </w:p>
              </w:tc>
            </w:tr>
            <w:tr w14:paraId="2127EFC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c>
                <w:tcPr>
                  <w:tcW w:w="398" w:type="pct"/>
                  <w:tcBorders>
                    <w:tl2br w:val="nil"/>
                    <w:tr2bl w:val="nil"/>
                  </w:tcBorders>
                  <w:vAlign w:val="center"/>
                </w:tcPr>
                <w:p w14:paraId="48051D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8</w:t>
                  </w:r>
                </w:p>
              </w:tc>
              <w:tc>
                <w:tcPr>
                  <w:tcW w:w="4192" w:type="pct"/>
                  <w:gridSpan w:val="3"/>
                  <w:tcBorders>
                    <w:tl2br w:val="nil"/>
                    <w:tr2bl w:val="nil"/>
                  </w:tcBorders>
                  <w:vAlign w:val="center"/>
                </w:tcPr>
                <w:p w14:paraId="6E83E53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rPr>
                    <w:t>环评验收</w:t>
                  </w:r>
                  <w:r>
                    <w:rPr>
                      <w:rFonts w:hint="eastAsia"/>
                      <w:color w:val="auto"/>
                      <w:spacing w:val="0"/>
                      <w:kern w:val="0"/>
                      <w:position w:val="0"/>
                      <w:sz w:val="21"/>
                      <w:szCs w:val="21"/>
                      <w:lang w:eastAsia="zh-CN"/>
                    </w:rPr>
                    <w:t>、</w:t>
                  </w:r>
                  <w:r>
                    <w:rPr>
                      <w:rFonts w:hint="eastAsia"/>
                      <w:color w:val="auto"/>
                      <w:spacing w:val="0"/>
                      <w:kern w:val="0"/>
                      <w:position w:val="0"/>
                      <w:sz w:val="21"/>
                      <w:szCs w:val="21"/>
                      <w:lang w:val="en-US" w:eastAsia="zh-CN"/>
                    </w:rPr>
                    <w:t>应急预案、排污许可</w:t>
                  </w:r>
                </w:p>
              </w:tc>
              <w:tc>
                <w:tcPr>
                  <w:tcW w:w="409" w:type="pct"/>
                  <w:tcBorders>
                    <w:tl2br w:val="nil"/>
                    <w:tr2bl w:val="nil"/>
                  </w:tcBorders>
                  <w:vAlign w:val="center"/>
                </w:tcPr>
                <w:p w14:paraId="0851618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auto"/>
                      <w:spacing w:val="0"/>
                      <w:kern w:val="0"/>
                      <w:position w:val="0"/>
                      <w:sz w:val="21"/>
                      <w:szCs w:val="21"/>
                      <w:lang w:eastAsia="zh-CN"/>
                    </w:rPr>
                  </w:pPr>
                  <w:r>
                    <w:rPr>
                      <w:rFonts w:hint="eastAsia"/>
                      <w:color w:val="auto"/>
                      <w:spacing w:val="0"/>
                      <w:kern w:val="0"/>
                      <w:position w:val="0"/>
                      <w:sz w:val="21"/>
                      <w:szCs w:val="21"/>
                      <w:lang w:val="en-US" w:eastAsia="zh-CN"/>
                    </w:rPr>
                    <w:t>6</w:t>
                  </w:r>
                </w:p>
              </w:tc>
            </w:tr>
            <w:tr w14:paraId="782080A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c>
                <w:tcPr>
                  <w:tcW w:w="4590" w:type="pct"/>
                  <w:gridSpan w:val="4"/>
                  <w:tcBorders>
                    <w:tl2br w:val="nil"/>
                    <w:tr2bl w:val="nil"/>
                  </w:tcBorders>
                  <w:vAlign w:val="center"/>
                </w:tcPr>
                <w:p w14:paraId="383350E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auto"/>
                      <w:spacing w:val="0"/>
                      <w:kern w:val="0"/>
                      <w:position w:val="0"/>
                      <w:sz w:val="21"/>
                      <w:szCs w:val="21"/>
                    </w:rPr>
                  </w:pPr>
                  <w:r>
                    <w:rPr>
                      <w:color w:val="auto"/>
                      <w:spacing w:val="0"/>
                      <w:kern w:val="0"/>
                      <w:position w:val="0"/>
                      <w:sz w:val="21"/>
                      <w:szCs w:val="21"/>
                    </w:rPr>
                    <w:t>总计</w:t>
                  </w:r>
                </w:p>
              </w:tc>
              <w:tc>
                <w:tcPr>
                  <w:tcW w:w="409" w:type="pct"/>
                  <w:tcBorders>
                    <w:tl2br w:val="nil"/>
                    <w:tr2bl w:val="nil"/>
                  </w:tcBorders>
                  <w:vAlign w:val="center"/>
                </w:tcPr>
                <w:p w14:paraId="44CB445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auto"/>
                      <w:spacing w:val="0"/>
                      <w:kern w:val="0"/>
                      <w:position w:val="0"/>
                      <w:sz w:val="21"/>
                      <w:szCs w:val="21"/>
                      <w:lang w:val="en-US" w:eastAsia="zh-CN"/>
                    </w:rPr>
                  </w:pPr>
                  <w:r>
                    <w:rPr>
                      <w:rFonts w:hint="eastAsia"/>
                      <w:color w:val="auto"/>
                      <w:spacing w:val="0"/>
                      <w:kern w:val="0"/>
                      <w:position w:val="0"/>
                      <w:sz w:val="21"/>
                      <w:szCs w:val="21"/>
                      <w:lang w:val="en-US" w:eastAsia="zh-CN"/>
                    </w:rPr>
                    <w:t>25</w:t>
                  </w:r>
                </w:p>
              </w:tc>
            </w:tr>
          </w:tbl>
          <w:p w14:paraId="3EF58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firstLine="0" w:firstLineChars="0"/>
              <w:textAlignment w:val="auto"/>
              <w:rPr>
                <w:b/>
                <w:bCs/>
                <w:color w:val="auto"/>
                <w:spacing w:val="0"/>
                <w:position w:val="0"/>
                <w:sz w:val="21"/>
                <w:szCs w:val="21"/>
              </w:rPr>
            </w:pPr>
            <w:r>
              <w:rPr>
                <w:rFonts w:hint="eastAsia"/>
                <w:b/>
                <w:bCs/>
                <w:color w:val="auto"/>
                <w:spacing w:val="0"/>
                <w:position w:val="0"/>
                <w:sz w:val="21"/>
                <w:szCs w:val="21"/>
                <w:lang w:val="en-US" w:eastAsia="zh-CN"/>
              </w:rPr>
              <w:t>2</w:t>
            </w:r>
            <w:r>
              <w:rPr>
                <w:b/>
                <w:bCs/>
                <w:color w:val="auto"/>
                <w:spacing w:val="0"/>
                <w:position w:val="0"/>
                <w:sz w:val="21"/>
                <w:szCs w:val="21"/>
              </w:rPr>
              <w:t>环境管理要求</w:t>
            </w:r>
          </w:p>
          <w:p w14:paraId="1D6653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为贯彻环境保护法规，促进项目社会效益、经济效益、环境效益的协调统一，对项目污染排放及区域环境质量实行监控，为区域环境管理与环境规划提供科学依据，必须加强企业环境管理与监测工作，建议建设单位至少指派1人负责企业环境管理与监测工作。环境管理采取总经理负责制，具体工作如下：</w:t>
            </w:r>
          </w:p>
          <w:p w14:paraId="6189C2D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（1）贯彻执行国家和自治区现行各项环保方针、政策、法规和标准，并认真执行环保行政管理部门下达的各项任务。</w:t>
            </w:r>
          </w:p>
          <w:p w14:paraId="1E86C8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（2）建立各项环境保护规章制度，并经常进行监督检查。</w:t>
            </w:r>
          </w:p>
          <w:p w14:paraId="711F73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（3）定期对各污染源进行检查，请当地环境监测部门对本企业污染源排放情况进行监测，了解各污染源动态，及时发现和掌握企业污染变化情况，从而制订相应处理措施。</w:t>
            </w:r>
          </w:p>
          <w:p w14:paraId="137B1C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（4）加强对污染治理设施的管理、检查及维护，确保污染治理设施正常运行，并把污染治理设施的治理效率按生产指标一样进行考核，以防止污染事故发生。</w:t>
            </w:r>
          </w:p>
          <w:p w14:paraId="508FAF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（5）学习并推广应用先进的环保技术和经验，组织污染治理设施操作人员进行岗前专业技术培训。</w:t>
            </w:r>
          </w:p>
          <w:p w14:paraId="0D1A41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（6）对职工进行环保宣传教育，提高职工环保意识。</w:t>
            </w:r>
          </w:p>
          <w:p w14:paraId="5A11A5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（7）建立固体废物管理台账要求，如实记录产生的固体废物的种类、数量、去向等内容，每年年底编制固体废物环境管理。</w:t>
            </w:r>
          </w:p>
          <w:p w14:paraId="100947B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8）建设单位应委托环境监理机构依据环境影响评价文件、环境保护行政主管部门批复及环境监理合同，对项目施工建设实行的环境保护监督管理（环境监理资料和工程质量验收资料要作为本项目建成后竣工环境保护验收的技术支撑资料）年报，报当地生态环境保护部门</w:t>
            </w:r>
            <w:r>
              <w:rPr>
                <w:rFonts w:hint="eastAsia" w:ascii="Times New Roman" w:hAnsi="Times New Roman" w:eastAsia="宋体" w:cs="Times New Roman"/>
                <w:color w:val="auto"/>
                <w:sz w:val="21"/>
                <w:szCs w:val="21"/>
                <w:lang w:eastAsia="zh-CN"/>
              </w:rPr>
              <w:t>。</w:t>
            </w:r>
          </w:p>
          <w:p w14:paraId="5BA80B50">
            <w:pPr>
              <w:keepNext w:val="0"/>
              <w:keepLines w:val="0"/>
              <w:pageBreakBefore w:val="0"/>
              <w:kinsoku/>
              <w:wordWrap/>
              <w:overflowPunct/>
              <w:topLinePunct w:val="0"/>
              <w:autoSpaceDE/>
              <w:autoSpaceDN/>
              <w:bidi w:val="0"/>
              <w:adjustRightInd/>
              <w:spacing w:beforeAutospacing="0" w:afterAutospacing="0" w:line="360" w:lineRule="auto"/>
              <w:ind w:firstLine="0" w:firstLineChars="0"/>
              <w:rPr>
                <w:rFonts w:hint="eastAsia" w:ascii="宋体" w:hAnsi="宋体" w:cs="宋体"/>
                <w:b/>
                <w:color w:val="auto"/>
                <w:spacing w:val="0"/>
                <w:position w:val="0"/>
                <w:sz w:val="21"/>
                <w:szCs w:val="21"/>
              </w:rPr>
            </w:pPr>
            <w:r>
              <w:rPr>
                <w:rFonts w:hint="eastAsia"/>
                <w:b/>
                <w:bCs/>
                <w:color w:val="auto"/>
                <w:spacing w:val="0"/>
                <w:position w:val="0"/>
                <w:sz w:val="21"/>
                <w:szCs w:val="21"/>
                <w:lang w:val="en-US" w:eastAsia="zh-CN"/>
              </w:rPr>
              <w:t>3</w:t>
            </w:r>
            <w:r>
              <w:rPr>
                <w:rFonts w:hint="eastAsia"/>
                <w:b/>
                <w:bCs/>
                <w:color w:val="auto"/>
                <w:spacing w:val="0"/>
                <w:position w:val="0"/>
                <w:sz w:val="21"/>
                <w:szCs w:val="21"/>
              </w:rPr>
              <w:t>排污许可和环境管理台账</w:t>
            </w:r>
          </w:p>
          <w:p w14:paraId="18E16C0C">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（1）排污许可证</w:t>
            </w:r>
          </w:p>
          <w:p w14:paraId="03D5795C">
            <w:pPr>
              <w:keepNext w:val="0"/>
              <w:keepLines w:val="0"/>
              <w:pageBreakBefore w:val="0"/>
              <w:widowControl/>
              <w:kinsoku/>
              <w:wordWrap/>
              <w:overflowPunct/>
              <w:topLinePunct w:val="0"/>
              <w:autoSpaceDE/>
              <w:autoSpaceDN/>
              <w:bidi w:val="0"/>
              <w:adjustRightInd/>
              <w:spacing w:beforeAutospacing="0" w:afterAutospacing="0" w:line="360" w:lineRule="auto"/>
              <w:ind w:firstLine="560"/>
              <w:jc w:val="left"/>
              <w:rPr>
                <w:color w:val="auto"/>
                <w:spacing w:val="0"/>
                <w:position w:val="0"/>
                <w:sz w:val="21"/>
                <w:szCs w:val="21"/>
              </w:rPr>
            </w:pPr>
            <w:r>
              <w:rPr>
                <w:rFonts w:hint="eastAsia"/>
                <w:color w:val="auto"/>
                <w:spacing w:val="0"/>
                <w:position w:val="0"/>
                <w:sz w:val="21"/>
                <w:szCs w:val="21"/>
              </w:rPr>
              <w:t>根据《排污许可证申请与核发技术</w:t>
            </w:r>
            <w:r>
              <w:rPr>
                <w:rFonts w:hint="eastAsia" w:ascii="Times New Roman" w:hAnsi="Times New Roman" w:eastAsia="宋体" w:cs="Times New Roman"/>
                <w:color w:val="auto"/>
                <w:spacing w:val="0"/>
                <w:position w:val="0"/>
                <w:sz w:val="21"/>
                <w:szCs w:val="21"/>
              </w:rPr>
              <w:t>规范-橡胶和塑料制品工业》（HJ 1122）、《固定污染源排污许可分类管</w:t>
            </w:r>
            <w:r>
              <w:rPr>
                <w:rFonts w:hint="eastAsia"/>
                <w:color w:val="auto"/>
                <w:spacing w:val="0"/>
                <w:position w:val="0"/>
                <w:sz w:val="21"/>
                <w:szCs w:val="21"/>
              </w:rPr>
              <w:t>理名录》（2019年版）相关要求，本环评要求建设单位及时申领排污许可证，在排污许可证申领完成后，定期提交执行报告，完成自行监测。</w:t>
            </w:r>
          </w:p>
          <w:p w14:paraId="67A45F65">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（2）排污口规范化管理</w:t>
            </w:r>
          </w:p>
          <w:p w14:paraId="23CEE24B">
            <w:pPr>
              <w:keepNext w:val="0"/>
              <w:keepLines w:val="0"/>
              <w:pageBreakBefore w:val="0"/>
              <w:kinsoku/>
              <w:wordWrap/>
              <w:overflowPunct/>
              <w:topLinePunct w:val="0"/>
              <w:autoSpaceDE/>
              <w:autoSpaceDN/>
              <w:bidi w:val="0"/>
              <w:adjustRightInd/>
              <w:spacing w:beforeAutospacing="0" w:afterAutospacing="0" w:line="360" w:lineRule="auto"/>
              <w:ind w:firstLine="560"/>
              <w:rPr>
                <w:rFonts w:hint="eastAsia" w:ascii="宋体" w:hAnsi="宋体" w:cs="宋体"/>
                <w:b/>
                <w:color w:val="auto"/>
                <w:spacing w:val="0"/>
                <w:position w:val="0"/>
                <w:sz w:val="21"/>
                <w:szCs w:val="21"/>
              </w:rPr>
            </w:pPr>
            <w:r>
              <w:rPr>
                <w:rFonts w:hint="eastAsia"/>
                <w:color w:val="auto"/>
                <w:spacing w:val="0"/>
                <w:position w:val="0"/>
                <w:sz w:val="21"/>
                <w:szCs w:val="21"/>
              </w:rPr>
              <w:t>本项目应按《环境保护图形标志</w:t>
            </w:r>
            <w:r>
              <w:rPr>
                <w:color w:val="auto"/>
                <w:spacing w:val="0"/>
                <w:position w:val="0"/>
                <w:sz w:val="21"/>
                <w:szCs w:val="21"/>
              </w:rPr>
              <w:t>—</w:t>
            </w:r>
            <w:r>
              <w:rPr>
                <w:rFonts w:hint="eastAsia"/>
                <w:color w:val="auto"/>
                <w:spacing w:val="0"/>
                <w:position w:val="0"/>
                <w:sz w:val="21"/>
                <w:szCs w:val="21"/>
              </w:rPr>
              <w:t>排放口（源）》（</w:t>
            </w:r>
            <w:r>
              <w:rPr>
                <w:color w:val="auto"/>
                <w:spacing w:val="0"/>
                <w:position w:val="0"/>
                <w:sz w:val="21"/>
                <w:szCs w:val="21"/>
              </w:rPr>
              <w:t>GB15562.1-1995</w:t>
            </w:r>
            <w:r>
              <w:rPr>
                <w:rFonts w:hint="eastAsia"/>
                <w:color w:val="auto"/>
                <w:spacing w:val="0"/>
                <w:position w:val="0"/>
                <w:sz w:val="21"/>
                <w:szCs w:val="21"/>
              </w:rPr>
              <w:t>）规定的图形，在各气、水、声排污口（源）挂牌标识，做到各排污口（源）的环保标志明显，便于企业管理和公众监督。</w:t>
            </w:r>
          </w:p>
          <w:p w14:paraId="130F7620">
            <w:pPr>
              <w:keepNext w:val="0"/>
              <w:keepLines w:val="0"/>
              <w:pageBreakBefore w:val="0"/>
              <w:kinsoku/>
              <w:wordWrap/>
              <w:overflowPunct/>
              <w:topLinePunct w:val="0"/>
              <w:autoSpaceDE/>
              <w:autoSpaceDN/>
              <w:bidi w:val="0"/>
              <w:adjustRightInd/>
              <w:spacing w:beforeAutospacing="0" w:afterAutospacing="0" w:line="360" w:lineRule="auto"/>
              <w:ind w:firstLine="560"/>
              <w:rPr>
                <w:rFonts w:hint="eastAsia" w:ascii="宋体" w:hAnsi="宋体" w:cs="宋体"/>
                <w:b/>
                <w:color w:val="auto"/>
                <w:spacing w:val="0"/>
                <w:position w:val="0"/>
                <w:sz w:val="21"/>
                <w:szCs w:val="21"/>
              </w:rPr>
            </w:pPr>
            <w:r>
              <w:rPr>
                <w:rFonts w:hint="eastAsia"/>
                <w:color w:val="auto"/>
                <w:spacing w:val="0"/>
                <w:position w:val="0"/>
                <w:sz w:val="21"/>
                <w:szCs w:val="21"/>
              </w:rPr>
              <w:t>污染物排放口的环保图形标志牌应设置在靠近采样点的醒目位置处，标志牌设置高度为其上缘距地面约</w:t>
            </w:r>
            <w:r>
              <w:rPr>
                <w:color w:val="auto"/>
                <w:spacing w:val="0"/>
                <w:position w:val="0"/>
                <w:sz w:val="21"/>
                <w:szCs w:val="21"/>
              </w:rPr>
              <w:t>2m</w:t>
            </w:r>
            <w:r>
              <w:rPr>
                <w:rFonts w:hint="eastAsia"/>
                <w:color w:val="auto"/>
                <w:spacing w:val="0"/>
                <w:position w:val="0"/>
                <w:sz w:val="21"/>
                <w:szCs w:val="21"/>
              </w:rPr>
              <w:t>。一般污染物排放口或固体废物贮存堆放场地设置提示性环境保护图形标志牌。</w:t>
            </w:r>
          </w:p>
          <w:p w14:paraId="09104E5F">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（3）环境管理台账记录要求</w:t>
            </w:r>
          </w:p>
          <w:p w14:paraId="1619B844">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color w:val="auto"/>
                <w:spacing w:val="0"/>
                <w:position w:val="0"/>
                <w:sz w:val="21"/>
                <w:szCs w:val="21"/>
              </w:rPr>
              <w:t>1</w:t>
            </w:r>
            <w:r>
              <w:rPr>
                <w:rFonts w:hint="eastAsia"/>
                <w:color w:val="auto"/>
                <w:spacing w:val="0"/>
                <w:position w:val="0"/>
                <w:sz w:val="21"/>
                <w:szCs w:val="21"/>
              </w:rPr>
              <w:t>）一般原则</w:t>
            </w:r>
          </w:p>
          <w:p w14:paraId="1480A18C">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排污单位在申请排污许可证时，应在排污许可平台中明确环境管理台账记录要求。有核发权的地方生态环境主管部门可以依据法律法规、标准规范增加和加严记录要求。排污单位也可自行增加记录要求。排污单位应建立环境管理台账记录制度，落实环境管理台账记录的责任部门和责任人，明确工作职责，包括台账的记录、整理、维护和管理等，并对台账记录结果的真实性、完整性和规范性负责。</w:t>
            </w:r>
          </w:p>
          <w:p w14:paraId="0B99DFAD">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环境管理台账分为电子台账和纸质台账两种形式。</w:t>
            </w:r>
          </w:p>
          <w:p w14:paraId="02678DF3">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排污单位可在满足本标准要求的基础上根据实际情况自行制定记录格式，或参照资料性附录C样表格式，其中记录频次和内容须满足排污许可证环境管理要求。</w:t>
            </w:r>
          </w:p>
          <w:p w14:paraId="0CB92D5E">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2）记录内容</w:t>
            </w:r>
          </w:p>
          <w:p w14:paraId="67B92B22">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包括污染治理设施运行管理信息和监测记录信息，参照资料性附录C。污染治理设施、排放口编码应与排污许可证副本中载明的编码一致。</w:t>
            </w:r>
          </w:p>
          <w:p w14:paraId="7E7639FE">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①污染治理设施运行管理信息</w:t>
            </w:r>
          </w:p>
          <w:p w14:paraId="5EC4DFBC">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排污单位应记录废气及废水治理设施、固体废物产生及处理处置运行管理信息。</w:t>
            </w:r>
          </w:p>
          <w:p w14:paraId="32B7AD28">
            <w:pPr>
              <w:keepNext w:val="0"/>
              <w:keepLines w:val="0"/>
              <w:pageBreakBefore w:val="0"/>
              <w:numPr>
                <w:ilvl w:val="0"/>
                <w:numId w:val="4"/>
              </w:numPr>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废气治理设施：应按照废气治理设施类别分别记录设施的实际运行相关参数和维护记录，包括设施名称、编码、运行参数、运行状态等。</w:t>
            </w:r>
          </w:p>
          <w:p w14:paraId="03B198F6">
            <w:pPr>
              <w:keepNext w:val="0"/>
              <w:keepLines w:val="0"/>
              <w:pageBreakBefore w:val="0"/>
              <w:numPr>
                <w:ilvl w:val="0"/>
                <w:numId w:val="4"/>
              </w:numPr>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废水处理设施：包括设施名称、编码、主要参数、废水产生情况、废水排放情况、运行状态等。</w:t>
            </w:r>
          </w:p>
          <w:p w14:paraId="141AA28C">
            <w:pPr>
              <w:keepNext w:val="0"/>
              <w:keepLines w:val="0"/>
              <w:pageBreakBefore w:val="0"/>
              <w:numPr>
                <w:ilvl w:val="0"/>
                <w:numId w:val="4"/>
              </w:numPr>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固体废物产生及处理处置：记录固体废物名称、类别、产生及预处理情况、综合利用量、处理处置量等。异常情况说明包括：事件原因、是否报告、应对措施等。</w:t>
            </w:r>
          </w:p>
          <w:p w14:paraId="5EEED07B">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②监测记录信息</w:t>
            </w:r>
          </w:p>
          <w:p w14:paraId="0D8698E9">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排污单位应建立污染治理设施运行管理监测记录，记录、台账的形式和质量控制参照HJ/T373、HJ819等相关要求执行。监测记录包括有组织废气污染物监测、无组织废气污染物监测、废水污染物监测。监测记录信息应包括采样时间、监测时间、监测结果、监测期间工况、若有超标记录超标原因。有监测报告的可只记录监测期间工况及超标排放的超标原因。</w:t>
            </w:r>
          </w:p>
          <w:p w14:paraId="2147D18D">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3）记录频次</w:t>
            </w:r>
          </w:p>
          <w:p w14:paraId="04C50B5A">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①污染治理设施运行管理信息</w:t>
            </w:r>
          </w:p>
          <w:p w14:paraId="2BFE3AB2">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a）正常情况：污染治理设施运行状况，按照污染治理设施管理单位班制记录，每班记录1次。</w:t>
            </w:r>
          </w:p>
          <w:p w14:paraId="1171ACED">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b）异常情况：按照异常情况期记录，1次/异常情况期。</w:t>
            </w:r>
          </w:p>
          <w:p w14:paraId="6B6CF695">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②监测记录信息</w:t>
            </w:r>
          </w:p>
          <w:p w14:paraId="0D9B0ED2">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监测数据的记录频次与本标准规定的废气、废水监测频次一致。</w:t>
            </w:r>
          </w:p>
          <w:p w14:paraId="15E9504B">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color w:val="auto"/>
                <w:spacing w:val="0"/>
                <w:position w:val="0"/>
                <w:sz w:val="21"/>
                <w:szCs w:val="21"/>
              </w:rPr>
              <w:t>4</w:t>
            </w:r>
            <w:r>
              <w:rPr>
                <w:rFonts w:hint="eastAsia"/>
                <w:color w:val="auto"/>
                <w:spacing w:val="0"/>
                <w:position w:val="0"/>
                <w:sz w:val="21"/>
                <w:szCs w:val="21"/>
              </w:rPr>
              <w:t>）记录存储及保存</w:t>
            </w:r>
          </w:p>
          <w:p w14:paraId="5D1BCBA7">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①纸质存储</w:t>
            </w:r>
          </w:p>
          <w:p w14:paraId="39DAD856">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应将纸质台账存放于保护袋、卷夹或保护盒等保存介质中；由专人签字、定点保存；应采取防光、防热、防潮、防细菌及防污染等措施；如有破损应及时修补，并留存备查。</w:t>
            </w:r>
          </w:p>
          <w:p w14:paraId="4BA13DF4">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②电子化存储</w:t>
            </w:r>
          </w:p>
          <w:p w14:paraId="5F596BD3">
            <w:pPr>
              <w:keepNext w:val="0"/>
              <w:keepLines w:val="0"/>
              <w:pageBreakBefore w:val="0"/>
              <w:kinsoku/>
              <w:wordWrap/>
              <w:overflowPunct/>
              <w:topLinePunct w:val="0"/>
              <w:autoSpaceDE/>
              <w:autoSpaceDN/>
              <w:bidi w:val="0"/>
              <w:adjustRightInd/>
              <w:spacing w:beforeAutospacing="0" w:afterAutospacing="0" w:line="360" w:lineRule="auto"/>
              <w:ind w:firstLine="560"/>
              <w:rPr>
                <w:color w:val="auto"/>
                <w:spacing w:val="0"/>
                <w:position w:val="0"/>
                <w:sz w:val="21"/>
                <w:szCs w:val="21"/>
              </w:rPr>
            </w:pPr>
            <w:r>
              <w:rPr>
                <w:rFonts w:hint="eastAsia"/>
                <w:color w:val="auto"/>
                <w:spacing w:val="0"/>
                <w:position w:val="0"/>
                <w:sz w:val="21"/>
                <w:szCs w:val="21"/>
              </w:rPr>
              <w:t>应存放于电子存储介质中，并进行数据备份；可在排污许可管理信息平台填报并保存；由专人定期维护管理。</w:t>
            </w:r>
          </w:p>
          <w:p w14:paraId="16BA2A34">
            <w:pPr>
              <w:keepNext w:val="0"/>
              <w:keepLines w:val="0"/>
              <w:pageBreakBefore w:val="0"/>
              <w:kinsoku/>
              <w:wordWrap/>
              <w:overflowPunct/>
              <w:topLinePunct w:val="0"/>
              <w:autoSpaceDE/>
              <w:autoSpaceDN/>
              <w:bidi w:val="0"/>
              <w:adjustRightInd/>
              <w:snapToGrid w:val="0"/>
              <w:spacing w:beforeAutospacing="0" w:afterAutospacing="0" w:line="360" w:lineRule="auto"/>
              <w:ind w:left="0" w:leftChars="0" w:firstLine="0" w:firstLineChars="0"/>
              <w:rPr>
                <w:rFonts w:hint="eastAsia" w:ascii="Times New Roman" w:hAnsi="Times New Roman"/>
                <w:b/>
                <w:bCs/>
                <w:color w:val="auto"/>
                <w:spacing w:val="0"/>
                <w:position w:val="0"/>
                <w:sz w:val="21"/>
                <w:szCs w:val="21"/>
              </w:rPr>
            </w:pPr>
            <w:r>
              <w:rPr>
                <w:rFonts w:hint="eastAsia"/>
                <w:b/>
                <w:bCs/>
                <w:color w:val="auto"/>
                <w:spacing w:val="0"/>
                <w:position w:val="0"/>
                <w:sz w:val="21"/>
                <w:szCs w:val="21"/>
                <w:lang w:val="en-US" w:eastAsia="zh-CN"/>
              </w:rPr>
              <w:t>4</w:t>
            </w:r>
            <w:r>
              <w:rPr>
                <w:rFonts w:hint="eastAsia" w:ascii="Times New Roman" w:hAnsi="Times New Roman"/>
                <w:b/>
                <w:bCs/>
                <w:color w:val="auto"/>
                <w:spacing w:val="0"/>
                <w:position w:val="0"/>
                <w:sz w:val="21"/>
                <w:szCs w:val="21"/>
              </w:rPr>
              <w:t>排污口规范化</w:t>
            </w:r>
          </w:p>
          <w:p w14:paraId="04E29EFC">
            <w:pPr>
              <w:keepNext w:val="0"/>
              <w:keepLines w:val="0"/>
              <w:pageBreakBefore w:val="0"/>
              <w:kinsoku/>
              <w:wordWrap/>
              <w:overflowPunct/>
              <w:topLinePunct w:val="0"/>
              <w:autoSpaceDE/>
              <w:autoSpaceDN/>
              <w:bidi w:val="0"/>
              <w:adjustRightInd/>
              <w:snapToGrid w:val="0"/>
              <w:spacing w:beforeAutospacing="0" w:afterAutospacing="0" w:line="360" w:lineRule="auto"/>
              <w:ind w:firstLine="420" w:firstLineChars="200"/>
              <w:rPr>
                <w:rFonts w:hint="eastAsia" w:ascii="Times New Roman" w:hAnsi="Times New Roman"/>
                <w:color w:val="auto"/>
                <w:spacing w:val="0"/>
                <w:position w:val="0"/>
                <w:sz w:val="21"/>
                <w:szCs w:val="21"/>
              </w:rPr>
            </w:pPr>
            <w:r>
              <w:rPr>
                <w:rFonts w:hint="eastAsia" w:ascii="Times New Roman" w:hAnsi="Times New Roman"/>
                <w:color w:val="auto"/>
                <w:spacing w:val="0"/>
                <w:position w:val="0"/>
                <w:sz w:val="21"/>
                <w:szCs w:val="21"/>
                <w:lang w:val="en-US" w:eastAsia="zh-CN"/>
              </w:rPr>
              <w:t>根据国家标准《环境保护图形标志－排放口（源）》（</w:t>
            </w:r>
            <w:r>
              <w:rPr>
                <w:rFonts w:hint="default" w:ascii="Times New Roman" w:hAnsi="Times New Roman"/>
                <w:color w:val="auto"/>
                <w:spacing w:val="0"/>
                <w:position w:val="0"/>
                <w:sz w:val="21"/>
                <w:szCs w:val="21"/>
                <w:lang w:val="en-US" w:eastAsia="zh-CN"/>
              </w:rPr>
              <w:t>GB15562.1-1995</w:t>
            </w:r>
            <w:r>
              <w:rPr>
                <w:rFonts w:hint="eastAsia" w:ascii="Times New Roman" w:hAnsi="Times New Roman"/>
                <w:color w:val="auto"/>
                <w:spacing w:val="0"/>
                <w:position w:val="0"/>
                <w:sz w:val="21"/>
                <w:szCs w:val="21"/>
                <w:lang w:val="en-US" w:eastAsia="zh-CN"/>
              </w:rPr>
              <w:t>）、《环境保护图形标志—固体废物贮存（处置）场》（</w:t>
            </w:r>
            <w:r>
              <w:rPr>
                <w:rFonts w:hint="default" w:ascii="Times New Roman" w:hAnsi="Times New Roman"/>
                <w:color w:val="auto"/>
                <w:spacing w:val="0"/>
                <w:position w:val="0"/>
                <w:sz w:val="21"/>
                <w:szCs w:val="21"/>
                <w:lang w:val="en-US" w:eastAsia="zh-CN"/>
              </w:rPr>
              <w:t>GB15562.2-1995</w:t>
            </w:r>
            <w:r>
              <w:rPr>
                <w:rFonts w:hint="eastAsia" w:ascii="Times New Roman" w:hAnsi="Times New Roman"/>
                <w:color w:val="auto"/>
                <w:spacing w:val="0"/>
                <w:position w:val="0"/>
                <w:sz w:val="21"/>
                <w:szCs w:val="21"/>
                <w:lang w:val="en-US" w:eastAsia="zh-CN"/>
              </w:rPr>
              <w:t>）和国家环保总局《排污口规范化整治要求》（试行）的技术要求，企业所有排放口（包括水、气、声、渣）必须按照</w:t>
            </w:r>
            <w:r>
              <w:rPr>
                <w:rFonts w:hint="eastAsia"/>
                <w:color w:val="auto"/>
                <w:spacing w:val="0"/>
                <w:position w:val="0"/>
                <w:sz w:val="21"/>
                <w:szCs w:val="21"/>
                <w:lang w:val="en-US" w:eastAsia="zh-CN"/>
              </w:rPr>
              <w:t>“</w:t>
            </w:r>
            <w:r>
              <w:rPr>
                <w:rFonts w:hint="eastAsia" w:ascii="Times New Roman" w:hAnsi="Times New Roman"/>
                <w:color w:val="auto"/>
                <w:spacing w:val="0"/>
                <w:position w:val="0"/>
                <w:sz w:val="21"/>
                <w:szCs w:val="21"/>
                <w:lang w:val="en-US" w:eastAsia="zh-CN"/>
              </w:rPr>
              <w:t>便于采样、便于计量检测、便于日常现场监督检查</w:t>
            </w:r>
            <w:r>
              <w:rPr>
                <w:rFonts w:hint="eastAsia"/>
                <w:color w:val="auto"/>
                <w:spacing w:val="0"/>
                <w:position w:val="0"/>
                <w:sz w:val="21"/>
                <w:szCs w:val="21"/>
                <w:lang w:val="en-US" w:eastAsia="zh-CN"/>
              </w:rPr>
              <w:t>”</w:t>
            </w:r>
            <w:r>
              <w:rPr>
                <w:rFonts w:hint="eastAsia" w:ascii="Times New Roman" w:hAnsi="Times New Roman"/>
                <w:color w:val="auto"/>
                <w:spacing w:val="0"/>
                <w:position w:val="0"/>
                <w:sz w:val="21"/>
                <w:szCs w:val="21"/>
                <w:lang w:val="en-US" w:eastAsia="zh-CN"/>
              </w:rPr>
              <w:t>的原则和规范化要求，设置与之相适应的环境保护图形标志牌，绘制企业排污口分布图，同时对污水排放口安装流量计，对治理设施安装运行监控装置、排污口的规范化要符合有关要求，图形符号见下表。</w:t>
            </w:r>
          </w:p>
          <w:p w14:paraId="5F0BA6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spacing w:val="0"/>
                <w:kern w:val="0"/>
                <w:position w:val="0"/>
                <w:sz w:val="21"/>
                <w:szCs w:val="21"/>
                <w:lang w:val="en-US" w:eastAsia="zh-CN" w:bidi="ar-SA"/>
              </w:rPr>
            </w:pPr>
            <w:r>
              <w:rPr>
                <w:rFonts w:hint="eastAsia" w:ascii="Times New Roman" w:hAnsi="Times New Roman" w:eastAsia="宋体" w:cs="Times New Roman"/>
                <w:b/>
                <w:snapToGrid w:val="0"/>
                <w:color w:val="auto"/>
                <w:spacing w:val="0"/>
                <w:kern w:val="0"/>
                <w:position w:val="0"/>
                <w:sz w:val="21"/>
                <w:szCs w:val="21"/>
                <w:lang w:val="en-US" w:eastAsia="zh-CN" w:bidi="ar-SA"/>
              </w:rPr>
              <w:t>表5-</w:t>
            </w:r>
            <w:r>
              <w:rPr>
                <w:rFonts w:hint="eastAsia" w:cs="Times New Roman"/>
                <w:b/>
                <w:snapToGrid w:val="0"/>
                <w:color w:val="auto"/>
                <w:spacing w:val="0"/>
                <w:kern w:val="0"/>
                <w:position w:val="0"/>
                <w:sz w:val="21"/>
                <w:szCs w:val="21"/>
                <w:lang w:val="en-US" w:eastAsia="zh-CN" w:bidi="ar-SA"/>
              </w:rPr>
              <w:t>2</w:t>
            </w:r>
            <w:r>
              <w:rPr>
                <w:rFonts w:hint="eastAsia" w:ascii="Times New Roman" w:hAnsi="Times New Roman" w:eastAsia="宋体" w:cs="Times New Roman"/>
                <w:b/>
                <w:snapToGrid w:val="0"/>
                <w:color w:val="auto"/>
                <w:spacing w:val="0"/>
                <w:kern w:val="0"/>
                <w:position w:val="0"/>
                <w:sz w:val="21"/>
                <w:szCs w:val="21"/>
                <w:lang w:val="en-US" w:eastAsia="zh-CN" w:bidi="ar-SA"/>
              </w:rPr>
              <w:t xml:space="preserve">   厂区排污口图形符号（提示标志）一览表</w:t>
            </w:r>
          </w:p>
          <w:tbl>
            <w:tblPr>
              <w:tblStyle w:val="31"/>
              <w:tblW w:w="733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221"/>
              <w:gridCol w:w="1222"/>
              <w:gridCol w:w="1222"/>
              <w:gridCol w:w="1222"/>
              <w:gridCol w:w="1222"/>
            </w:tblGrid>
            <w:tr w14:paraId="5E9D3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1" w:type="dxa"/>
                  <w:tcBorders>
                    <w:tl2br w:val="nil"/>
                    <w:tr2bl w:val="nil"/>
                  </w:tcBorders>
                  <w:vAlign w:val="center"/>
                </w:tcPr>
                <w:p w14:paraId="4E16E047">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名称</w:t>
                  </w:r>
                </w:p>
              </w:tc>
              <w:tc>
                <w:tcPr>
                  <w:tcW w:w="1221" w:type="dxa"/>
                  <w:tcBorders>
                    <w:tl2br w:val="nil"/>
                    <w:tr2bl w:val="nil"/>
                  </w:tcBorders>
                  <w:vAlign w:val="center"/>
                </w:tcPr>
                <w:p w14:paraId="235800AF">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废水排放口</w:t>
                  </w:r>
                </w:p>
              </w:tc>
              <w:tc>
                <w:tcPr>
                  <w:tcW w:w="1222" w:type="dxa"/>
                  <w:tcBorders>
                    <w:tl2br w:val="nil"/>
                    <w:tr2bl w:val="nil"/>
                  </w:tcBorders>
                  <w:vAlign w:val="center"/>
                </w:tcPr>
                <w:p w14:paraId="2B0C7B2B">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废气排放口</w:t>
                  </w:r>
                </w:p>
              </w:tc>
              <w:tc>
                <w:tcPr>
                  <w:tcW w:w="1222" w:type="dxa"/>
                  <w:tcBorders>
                    <w:tl2br w:val="nil"/>
                    <w:tr2bl w:val="nil"/>
                  </w:tcBorders>
                  <w:vAlign w:val="center"/>
                </w:tcPr>
                <w:p w14:paraId="37B269BA">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噪声排放源</w:t>
                  </w:r>
                </w:p>
              </w:tc>
              <w:tc>
                <w:tcPr>
                  <w:tcW w:w="1222" w:type="dxa"/>
                  <w:tcBorders>
                    <w:tl2br w:val="nil"/>
                    <w:tr2bl w:val="nil"/>
                  </w:tcBorders>
                  <w:vAlign w:val="center"/>
                </w:tcPr>
                <w:p w14:paraId="526A1977">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一般固体废物</w:t>
                  </w:r>
                </w:p>
              </w:tc>
              <w:tc>
                <w:tcPr>
                  <w:tcW w:w="1222" w:type="dxa"/>
                  <w:tcBorders>
                    <w:tl2br w:val="nil"/>
                    <w:tr2bl w:val="nil"/>
                  </w:tcBorders>
                  <w:vAlign w:val="center"/>
                </w:tcPr>
                <w:p w14:paraId="3D3369AE">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危险固废</w:t>
                  </w:r>
                </w:p>
              </w:tc>
            </w:tr>
            <w:tr w14:paraId="55299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1" w:type="dxa"/>
                  <w:tcBorders>
                    <w:tl2br w:val="nil"/>
                    <w:tr2bl w:val="nil"/>
                  </w:tcBorders>
                  <w:vAlign w:val="center"/>
                </w:tcPr>
                <w:p w14:paraId="4A7FC426">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提示图形符号</w:t>
                  </w:r>
                </w:p>
              </w:tc>
              <w:tc>
                <w:tcPr>
                  <w:tcW w:w="1221" w:type="dxa"/>
                  <w:tcBorders>
                    <w:tl2br w:val="nil"/>
                    <w:tr2bl w:val="nil"/>
                  </w:tcBorders>
                  <w:vAlign w:val="center"/>
                </w:tcPr>
                <w:p w14:paraId="1D14CE7D">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color w:val="auto"/>
                      <w:spacing w:val="0"/>
                      <w:position w:val="0"/>
                      <w:sz w:val="21"/>
                      <w:szCs w:val="21"/>
                    </w:rPr>
                    <w:drawing>
                      <wp:inline distT="0" distB="0" distL="114300" distR="114300">
                        <wp:extent cx="637540" cy="489585"/>
                        <wp:effectExtent l="0" t="0" r="10160" b="571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5"/>
                                <a:stretch>
                                  <a:fillRect/>
                                </a:stretch>
                              </pic:blipFill>
                              <pic:spPr>
                                <a:xfrm>
                                  <a:off x="0" y="0"/>
                                  <a:ext cx="637540" cy="489585"/>
                                </a:xfrm>
                                <a:prstGeom prst="rect">
                                  <a:avLst/>
                                </a:prstGeom>
                                <a:noFill/>
                                <a:ln>
                                  <a:noFill/>
                                </a:ln>
                              </pic:spPr>
                            </pic:pic>
                          </a:graphicData>
                        </a:graphic>
                      </wp:inline>
                    </w:drawing>
                  </w:r>
                </w:p>
              </w:tc>
              <w:tc>
                <w:tcPr>
                  <w:tcW w:w="1222" w:type="dxa"/>
                  <w:tcBorders>
                    <w:tl2br w:val="nil"/>
                    <w:tr2bl w:val="nil"/>
                  </w:tcBorders>
                  <w:vAlign w:val="center"/>
                </w:tcPr>
                <w:p w14:paraId="19ED5276">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color w:val="auto"/>
                      <w:spacing w:val="0"/>
                      <w:position w:val="0"/>
                      <w:sz w:val="21"/>
                      <w:szCs w:val="21"/>
                    </w:rPr>
                    <w:drawing>
                      <wp:inline distT="0" distB="0" distL="114300" distR="114300">
                        <wp:extent cx="638175" cy="490220"/>
                        <wp:effectExtent l="0" t="0" r="9525" b="508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6"/>
                                <a:stretch>
                                  <a:fillRect/>
                                </a:stretch>
                              </pic:blipFill>
                              <pic:spPr>
                                <a:xfrm>
                                  <a:off x="0" y="0"/>
                                  <a:ext cx="638175" cy="490220"/>
                                </a:xfrm>
                                <a:prstGeom prst="rect">
                                  <a:avLst/>
                                </a:prstGeom>
                                <a:noFill/>
                                <a:ln>
                                  <a:noFill/>
                                </a:ln>
                              </pic:spPr>
                            </pic:pic>
                          </a:graphicData>
                        </a:graphic>
                      </wp:inline>
                    </w:drawing>
                  </w:r>
                </w:p>
              </w:tc>
              <w:tc>
                <w:tcPr>
                  <w:tcW w:w="1222" w:type="dxa"/>
                  <w:tcBorders>
                    <w:tl2br w:val="nil"/>
                    <w:tr2bl w:val="nil"/>
                  </w:tcBorders>
                  <w:vAlign w:val="center"/>
                </w:tcPr>
                <w:p w14:paraId="45170655">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color w:val="auto"/>
                      <w:spacing w:val="0"/>
                      <w:position w:val="0"/>
                      <w:sz w:val="21"/>
                      <w:szCs w:val="21"/>
                    </w:rPr>
                    <w:drawing>
                      <wp:inline distT="0" distB="0" distL="114300" distR="114300">
                        <wp:extent cx="638175" cy="490220"/>
                        <wp:effectExtent l="0" t="0" r="9525" b="508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7"/>
                                <a:stretch>
                                  <a:fillRect/>
                                </a:stretch>
                              </pic:blipFill>
                              <pic:spPr>
                                <a:xfrm>
                                  <a:off x="0" y="0"/>
                                  <a:ext cx="638175" cy="490220"/>
                                </a:xfrm>
                                <a:prstGeom prst="rect">
                                  <a:avLst/>
                                </a:prstGeom>
                                <a:noFill/>
                                <a:ln>
                                  <a:noFill/>
                                </a:ln>
                              </pic:spPr>
                            </pic:pic>
                          </a:graphicData>
                        </a:graphic>
                      </wp:inline>
                    </w:drawing>
                  </w:r>
                </w:p>
              </w:tc>
              <w:tc>
                <w:tcPr>
                  <w:tcW w:w="1222" w:type="dxa"/>
                  <w:tcBorders>
                    <w:tl2br w:val="nil"/>
                    <w:tr2bl w:val="nil"/>
                  </w:tcBorders>
                  <w:vAlign w:val="center"/>
                </w:tcPr>
                <w:p w14:paraId="7833C99C">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color w:val="auto"/>
                      <w:spacing w:val="0"/>
                      <w:position w:val="0"/>
                      <w:sz w:val="21"/>
                      <w:szCs w:val="21"/>
                    </w:rPr>
                    <w:drawing>
                      <wp:inline distT="0" distB="0" distL="114300" distR="114300">
                        <wp:extent cx="638175" cy="490220"/>
                        <wp:effectExtent l="0" t="0" r="9525" b="50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8"/>
                                <a:stretch>
                                  <a:fillRect/>
                                </a:stretch>
                              </pic:blipFill>
                              <pic:spPr>
                                <a:xfrm>
                                  <a:off x="0" y="0"/>
                                  <a:ext cx="638175" cy="490220"/>
                                </a:xfrm>
                                <a:prstGeom prst="rect">
                                  <a:avLst/>
                                </a:prstGeom>
                                <a:noFill/>
                                <a:ln>
                                  <a:noFill/>
                                </a:ln>
                              </pic:spPr>
                            </pic:pic>
                          </a:graphicData>
                        </a:graphic>
                      </wp:inline>
                    </w:drawing>
                  </w:r>
                </w:p>
              </w:tc>
              <w:tc>
                <w:tcPr>
                  <w:tcW w:w="1222" w:type="dxa"/>
                  <w:tcBorders>
                    <w:tl2br w:val="nil"/>
                    <w:tr2bl w:val="nil"/>
                  </w:tcBorders>
                  <w:vAlign w:val="center"/>
                </w:tcPr>
                <w:p w14:paraId="2416952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color w:val="auto"/>
                    </w:rPr>
                    <w:drawing>
                      <wp:inline distT="0" distB="0" distL="114300" distR="114300">
                        <wp:extent cx="522605" cy="577215"/>
                        <wp:effectExtent l="0" t="0" r="10795" b="133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9"/>
                                <a:stretch>
                                  <a:fillRect/>
                                </a:stretch>
                              </pic:blipFill>
                              <pic:spPr>
                                <a:xfrm>
                                  <a:off x="0" y="0"/>
                                  <a:ext cx="522605" cy="577215"/>
                                </a:xfrm>
                                <a:prstGeom prst="rect">
                                  <a:avLst/>
                                </a:prstGeom>
                                <a:noFill/>
                                <a:ln>
                                  <a:noFill/>
                                </a:ln>
                              </pic:spPr>
                            </pic:pic>
                          </a:graphicData>
                        </a:graphic>
                      </wp:inline>
                    </w:drawing>
                  </w:r>
                </w:p>
              </w:tc>
            </w:tr>
            <w:tr w14:paraId="5E30E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1" w:type="dxa"/>
                  <w:tcBorders>
                    <w:tl2br w:val="nil"/>
                    <w:tr2bl w:val="nil"/>
                  </w:tcBorders>
                  <w:vAlign w:val="center"/>
                </w:tcPr>
                <w:p w14:paraId="4126353C">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功能</w:t>
                  </w:r>
                </w:p>
              </w:tc>
              <w:tc>
                <w:tcPr>
                  <w:tcW w:w="1221" w:type="dxa"/>
                  <w:tcBorders>
                    <w:tl2br w:val="nil"/>
                    <w:tr2bl w:val="nil"/>
                  </w:tcBorders>
                  <w:vAlign w:val="center"/>
                </w:tcPr>
                <w:p w14:paraId="4C53053B">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ascii="宋体" w:hAnsi="宋体" w:eastAsia="宋体" w:cs="宋体"/>
                      <w:color w:val="auto"/>
                      <w:spacing w:val="0"/>
                      <w:kern w:val="0"/>
                      <w:position w:val="0"/>
                      <w:sz w:val="21"/>
                      <w:szCs w:val="21"/>
                      <w:lang w:val="en-US" w:eastAsia="zh-CN" w:bidi="ar"/>
                    </w:rPr>
                    <w:t>表示污水向水体排放</w:t>
                  </w:r>
                </w:p>
              </w:tc>
              <w:tc>
                <w:tcPr>
                  <w:tcW w:w="1222" w:type="dxa"/>
                  <w:tcBorders>
                    <w:tl2br w:val="nil"/>
                    <w:tr2bl w:val="nil"/>
                  </w:tcBorders>
                  <w:vAlign w:val="center"/>
                </w:tcPr>
                <w:p w14:paraId="01584809">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ascii="宋体" w:hAnsi="宋体" w:eastAsia="宋体" w:cs="宋体"/>
                      <w:color w:val="auto"/>
                      <w:spacing w:val="0"/>
                      <w:kern w:val="0"/>
                      <w:position w:val="0"/>
                      <w:sz w:val="21"/>
                      <w:szCs w:val="21"/>
                      <w:lang w:val="en-US" w:eastAsia="zh-CN" w:bidi="ar"/>
                    </w:rPr>
                    <w:t>表示废气向大气环境排放</w:t>
                  </w:r>
                </w:p>
              </w:tc>
              <w:tc>
                <w:tcPr>
                  <w:tcW w:w="1222" w:type="dxa"/>
                  <w:tcBorders>
                    <w:tl2br w:val="nil"/>
                    <w:tr2bl w:val="nil"/>
                  </w:tcBorders>
                  <w:vAlign w:val="center"/>
                </w:tcPr>
                <w:p w14:paraId="4E3EC840">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ascii="宋体" w:hAnsi="宋体" w:eastAsia="宋体" w:cs="宋体"/>
                      <w:color w:val="auto"/>
                      <w:spacing w:val="0"/>
                      <w:kern w:val="0"/>
                      <w:position w:val="0"/>
                      <w:sz w:val="21"/>
                      <w:szCs w:val="21"/>
                      <w:lang w:val="en-US" w:eastAsia="zh-CN" w:bidi="ar"/>
                    </w:rPr>
                    <w:t>表示噪声向外环境排放</w:t>
                  </w:r>
                </w:p>
              </w:tc>
              <w:tc>
                <w:tcPr>
                  <w:tcW w:w="1222" w:type="dxa"/>
                  <w:tcBorders>
                    <w:tl2br w:val="nil"/>
                    <w:tr2bl w:val="nil"/>
                  </w:tcBorders>
                  <w:vAlign w:val="center"/>
                </w:tcPr>
                <w:p w14:paraId="6903327B">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ascii="宋体" w:hAnsi="宋体" w:eastAsia="宋体" w:cs="宋体"/>
                      <w:color w:val="auto"/>
                      <w:spacing w:val="0"/>
                      <w:kern w:val="0"/>
                      <w:position w:val="0"/>
                      <w:sz w:val="21"/>
                      <w:szCs w:val="21"/>
                      <w:lang w:val="en-US" w:eastAsia="zh-CN" w:bidi="ar"/>
                    </w:rPr>
                    <w:t>表示一般固体废物贮存、处置场</w:t>
                  </w:r>
                </w:p>
              </w:tc>
              <w:tc>
                <w:tcPr>
                  <w:tcW w:w="1222" w:type="dxa"/>
                  <w:tcBorders>
                    <w:tl2br w:val="nil"/>
                    <w:tr2bl w:val="nil"/>
                  </w:tcBorders>
                  <w:vAlign w:val="center"/>
                </w:tcPr>
                <w:p w14:paraId="2A9BB12A">
                  <w:pPr>
                    <w:keepNext w:val="0"/>
                    <w:keepLines w:val="0"/>
                    <w:pageBreakBefore w:val="0"/>
                    <w:widowControl/>
                    <w:suppressLineNumbers w:val="0"/>
                    <w:kinsoku/>
                    <w:wordWrap/>
                    <w:overflowPunct/>
                    <w:topLinePunct w:val="0"/>
                    <w:autoSpaceDE/>
                    <w:autoSpaceDN/>
                    <w:bidi w:val="0"/>
                    <w:adjustRightInd/>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ascii="宋体" w:hAnsi="宋体" w:eastAsia="宋体" w:cs="宋体"/>
                      <w:color w:val="auto"/>
                      <w:spacing w:val="0"/>
                      <w:kern w:val="0"/>
                      <w:position w:val="0"/>
                      <w:sz w:val="21"/>
                      <w:szCs w:val="21"/>
                      <w:lang w:val="en-US" w:eastAsia="zh-CN" w:bidi="ar"/>
                    </w:rPr>
                    <w:t>表示危险固体废物贮存、处置场</w:t>
                  </w:r>
                </w:p>
              </w:tc>
            </w:tr>
            <w:tr w14:paraId="32564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1" w:type="dxa"/>
                  <w:tcBorders>
                    <w:tl2br w:val="nil"/>
                    <w:tr2bl w:val="nil"/>
                  </w:tcBorders>
                  <w:vAlign w:val="center"/>
                </w:tcPr>
                <w:p w14:paraId="7328DE94">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背景颜色</w:t>
                  </w:r>
                </w:p>
              </w:tc>
              <w:tc>
                <w:tcPr>
                  <w:tcW w:w="4887" w:type="dxa"/>
                  <w:gridSpan w:val="4"/>
                  <w:tcBorders>
                    <w:tl2br w:val="nil"/>
                    <w:tr2bl w:val="nil"/>
                  </w:tcBorders>
                  <w:vAlign w:val="center"/>
                </w:tcPr>
                <w:p w14:paraId="5F90CB69">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color w:val="auto"/>
                      <w:spacing w:val="0"/>
                      <w:position w:val="0"/>
                      <w:sz w:val="21"/>
                      <w:szCs w:val="21"/>
                      <w:vertAlign w:val="baseline"/>
                      <w:lang w:val="en-US" w:eastAsia="zh-CN"/>
                    </w:rPr>
                    <w:t>绿色</w:t>
                  </w:r>
                </w:p>
              </w:tc>
              <w:tc>
                <w:tcPr>
                  <w:tcW w:w="1222" w:type="dxa"/>
                  <w:tcBorders>
                    <w:tl2br w:val="nil"/>
                    <w:tr2bl w:val="nil"/>
                  </w:tcBorders>
                  <w:vAlign w:val="center"/>
                </w:tcPr>
                <w:p w14:paraId="66340257">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黄色</w:t>
                  </w:r>
                </w:p>
              </w:tc>
            </w:tr>
            <w:tr w14:paraId="42C7C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1" w:type="dxa"/>
                  <w:tcBorders>
                    <w:tl2br w:val="nil"/>
                    <w:tr2bl w:val="nil"/>
                  </w:tcBorders>
                  <w:vAlign w:val="center"/>
                </w:tcPr>
                <w:p w14:paraId="35177D51">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图形颜色</w:t>
                  </w:r>
                </w:p>
              </w:tc>
              <w:tc>
                <w:tcPr>
                  <w:tcW w:w="4887" w:type="dxa"/>
                  <w:gridSpan w:val="4"/>
                  <w:tcBorders>
                    <w:tl2br w:val="nil"/>
                    <w:tr2bl w:val="nil"/>
                  </w:tcBorders>
                  <w:vAlign w:val="center"/>
                </w:tcPr>
                <w:p w14:paraId="4A88485B">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ascii="Times New Roman" w:hAnsi="Times New Roman"/>
                      <w:color w:val="auto"/>
                      <w:spacing w:val="0"/>
                      <w:position w:val="0"/>
                      <w:sz w:val="21"/>
                      <w:szCs w:val="21"/>
                      <w:vertAlign w:val="baseline"/>
                    </w:rPr>
                  </w:pPr>
                  <w:r>
                    <w:rPr>
                      <w:rFonts w:hint="eastAsia"/>
                      <w:color w:val="auto"/>
                      <w:spacing w:val="0"/>
                      <w:position w:val="0"/>
                      <w:sz w:val="21"/>
                      <w:szCs w:val="21"/>
                      <w:vertAlign w:val="baseline"/>
                      <w:lang w:val="en-US" w:eastAsia="zh-CN"/>
                    </w:rPr>
                    <w:t>白色</w:t>
                  </w:r>
                </w:p>
              </w:tc>
              <w:tc>
                <w:tcPr>
                  <w:tcW w:w="1222" w:type="dxa"/>
                  <w:tcBorders>
                    <w:tl2br w:val="nil"/>
                    <w:tr2bl w:val="nil"/>
                  </w:tcBorders>
                  <w:vAlign w:val="center"/>
                </w:tcPr>
                <w:p w14:paraId="1BAF4B64">
                  <w:pPr>
                    <w:keepNext w:val="0"/>
                    <w:keepLines w:val="0"/>
                    <w:pageBreakBefore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olor w:val="auto"/>
                      <w:spacing w:val="0"/>
                      <w:position w:val="0"/>
                      <w:sz w:val="21"/>
                      <w:szCs w:val="21"/>
                      <w:vertAlign w:val="baseline"/>
                      <w:lang w:val="en-US" w:eastAsia="zh-CN"/>
                    </w:rPr>
                  </w:pPr>
                  <w:r>
                    <w:rPr>
                      <w:rFonts w:hint="eastAsia"/>
                      <w:color w:val="auto"/>
                      <w:spacing w:val="0"/>
                      <w:position w:val="0"/>
                      <w:sz w:val="21"/>
                      <w:szCs w:val="21"/>
                      <w:vertAlign w:val="baseline"/>
                      <w:lang w:val="en-US" w:eastAsia="zh-CN"/>
                    </w:rPr>
                    <w:t>黑色</w:t>
                  </w:r>
                </w:p>
              </w:tc>
            </w:tr>
          </w:tbl>
          <w:p w14:paraId="123FCAB9">
            <w:pPr>
              <w:keepNext w:val="0"/>
              <w:keepLines w:val="0"/>
              <w:pageBreakBefore w:val="0"/>
              <w:kinsoku/>
              <w:wordWrap/>
              <w:overflowPunct/>
              <w:topLinePunct w:val="0"/>
              <w:autoSpaceDE/>
              <w:autoSpaceDN/>
              <w:bidi w:val="0"/>
              <w:adjustRightInd/>
              <w:snapToGrid w:val="0"/>
              <w:spacing w:beforeAutospacing="0" w:afterAutospacing="0" w:line="360" w:lineRule="auto"/>
              <w:ind w:firstLine="0" w:firstLineChars="0"/>
              <w:jc w:val="both"/>
              <w:rPr>
                <w:color w:val="auto"/>
                <w:spacing w:val="0"/>
                <w:position w:val="0"/>
                <w:sz w:val="21"/>
                <w:szCs w:val="21"/>
              </w:rPr>
            </w:pPr>
          </w:p>
        </w:tc>
      </w:tr>
    </w:tbl>
    <w:p w14:paraId="376EF7E6">
      <w:pPr>
        <w:pStyle w:val="25"/>
        <w:ind w:firstLine="0" w:firstLineChars="0"/>
        <w:jc w:val="center"/>
        <w:outlineLvl w:val="0"/>
        <w:rPr>
          <w:rFonts w:ascii="Times New Roman" w:hAnsi="Times New Roman" w:eastAsia="黑体"/>
          <w:snapToGrid w:val="0"/>
          <w:color w:val="auto"/>
          <w:spacing w:val="0"/>
          <w:position w:val="0"/>
          <w:sz w:val="30"/>
          <w:szCs w:val="30"/>
        </w:rPr>
      </w:pPr>
      <w:r>
        <w:rPr>
          <w:rFonts w:ascii="Times New Roman" w:hAnsi="Times New Roman"/>
          <w:snapToGrid w:val="0"/>
          <w:color w:val="0000FF"/>
          <w:spacing w:val="0"/>
          <w:position w:val="0"/>
          <w:sz w:val="21"/>
          <w:szCs w:val="21"/>
        </w:rPr>
        <w:br w:type="page"/>
      </w:r>
      <w:r>
        <w:rPr>
          <w:rFonts w:ascii="Times New Roman" w:hAnsi="Times New Roman" w:eastAsia="黑体"/>
          <w:snapToGrid w:val="0"/>
          <w:color w:val="auto"/>
          <w:spacing w:val="0"/>
          <w:position w:val="0"/>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939C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F91EED2">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textAlignment w:val="auto"/>
              <w:rPr>
                <w:color w:val="auto"/>
                <w:spacing w:val="0"/>
                <w:position w:val="0"/>
                <w:sz w:val="21"/>
                <w:szCs w:val="21"/>
              </w:rPr>
            </w:pPr>
            <w:r>
              <w:rPr>
                <w:color w:val="auto"/>
                <w:spacing w:val="0"/>
                <w:position w:val="0"/>
                <w:sz w:val="21"/>
                <w:szCs w:val="21"/>
              </w:rPr>
              <w:t>本项目建设符合国家产业政策要求，项目在采用本次环境影响评价提出的各项污染防治措施后，对项目周围环境及各保护目标环境质量现状影响较小。因此，从环境保护角度而言，本项目建设是可行的。</w:t>
            </w:r>
          </w:p>
        </w:tc>
      </w:tr>
    </w:tbl>
    <w:p w14:paraId="059B0578">
      <w:pPr>
        <w:ind w:firstLine="560"/>
        <w:rPr>
          <w:color w:val="0000FF"/>
          <w:spacing w:val="0"/>
          <w:position w:val="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D469CE9">
      <w:pPr>
        <w:pStyle w:val="25"/>
        <w:adjustRightInd w:val="0"/>
        <w:snapToGrid w:val="0"/>
        <w:spacing w:before="0" w:beforeAutospacing="0" w:after="0" w:afterAutospacing="0" w:line="440" w:lineRule="exact"/>
        <w:ind w:firstLine="640"/>
        <w:outlineLvl w:val="0"/>
        <w:rPr>
          <w:rFonts w:ascii="Times New Roman" w:hAnsi="Times New Roman" w:eastAsia="黑体"/>
          <w:snapToGrid w:val="0"/>
          <w:color w:val="auto"/>
          <w:spacing w:val="0"/>
          <w:position w:val="0"/>
          <w:sz w:val="32"/>
          <w:szCs w:val="32"/>
        </w:rPr>
      </w:pPr>
      <w:r>
        <w:rPr>
          <w:rFonts w:ascii="Times New Roman" w:hAnsi="Times New Roman" w:eastAsia="黑体"/>
          <w:snapToGrid w:val="0"/>
          <w:color w:val="auto"/>
          <w:spacing w:val="0"/>
          <w:position w:val="0"/>
          <w:sz w:val="32"/>
          <w:szCs w:val="32"/>
        </w:rPr>
        <w:t>附表</w:t>
      </w:r>
    </w:p>
    <w:p w14:paraId="087E5782">
      <w:pPr>
        <w:pStyle w:val="25"/>
        <w:adjustRightInd w:val="0"/>
        <w:snapToGrid w:val="0"/>
        <w:spacing w:before="0" w:beforeAutospacing="0" w:after="0" w:afterAutospacing="0" w:line="440" w:lineRule="exact"/>
        <w:ind w:firstLine="760"/>
        <w:jc w:val="center"/>
        <w:outlineLvl w:val="9"/>
        <w:rPr>
          <w:rFonts w:ascii="Times New Roman" w:hAnsi="Times New Roman" w:eastAsia="方正小标宋_GBK"/>
          <w:snapToGrid w:val="0"/>
          <w:color w:val="auto"/>
          <w:spacing w:val="0"/>
          <w:position w:val="0"/>
          <w:sz w:val="38"/>
          <w:szCs w:val="38"/>
        </w:rPr>
      </w:pPr>
      <w:r>
        <w:rPr>
          <w:rFonts w:ascii="Times New Roman" w:hAnsi="Times New Roman" w:eastAsia="黑体"/>
          <w:snapToGrid w:val="0"/>
          <w:color w:val="auto"/>
          <w:spacing w:val="0"/>
          <w:position w:val="0"/>
          <w:sz w:val="38"/>
          <w:szCs w:val="38"/>
        </w:rPr>
        <w:t>建设项目污染物排放量汇总表</w:t>
      </w:r>
    </w:p>
    <w:tbl>
      <w:tblPr>
        <w:tblStyle w:val="3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920"/>
        <w:gridCol w:w="1845"/>
        <w:gridCol w:w="1320"/>
        <w:gridCol w:w="1560"/>
        <w:gridCol w:w="1559"/>
        <w:gridCol w:w="1290"/>
        <w:gridCol w:w="1711"/>
        <w:gridCol w:w="1498"/>
      </w:tblGrid>
      <w:tr w14:paraId="356F3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85" w:type="dxa"/>
            <w:tcBorders>
              <w:tl2br w:val="single" w:color="auto" w:sz="4" w:space="0"/>
            </w:tcBorders>
            <w:tcMar>
              <w:left w:w="28" w:type="dxa"/>
              <w:right w:w="28" w:type="dxa"/>
            </w:tcMar>
            <w:vAlign w:val="center"/>
          </w:tcPr>
          <w:p w14:paraId="491335E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项目</w:t>
            </w:r>
          </w:p>
          <w:p w14:paraId="0AD078C0">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p>
          <w:p w14:paraId="17EAEAA6">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分类</w:t>
            </w:r>
          </w:p>
        </w:tc>
        <w:tc>
          <w:tcPr>
            <w:tcW w:w="1920" w:type="dxa"/>
            <w:tcMar>
              <w:left w:w="28" w:type="dxa"/>
              <w:right w:w="28" w:type="dxa"/>
            </w:tcMar>
            <w:vAlign w:val="center"/>
          </w:tcPr>
          <w:p w14:paraId="4EDE045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污染物名称</w:t>
            </w:r>
          </w:p>
        </w:tc>
        <w:tc>
          <w:tcPr>
            <w:tcW w:w="1845" w:type="dxa"/>
            <w:tcMar>
              <w:left w:w="28" w:type="dxa"/>
              <w:right w:w="28" w:type="dxa"/>
            </w:tcMar>
            <w:vAlign w:val="center"/>
          </w:tcPr>
          <w:p w14:paraId="2D6A0C11">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现有工程排放量（固体废物产生量）</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1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①</w:t>
            </w:r>
            <w:r>
              <w:rPr>
                <w:rFonts w:hint="default" w:ascii="Times New Roman" w:hAnsi="Times New Roman" w:eastAsia="宋体" w:cs="Times New Roman"/>
                <w:color w:val="auto"/>
                <w:spacing w:val="0"/>
                <w:position w:val="0"/>
                <w:sz w:val="21"/>
                <w:szCs w:val="21"/>
              </w:rPr>
              <w:fldChar w:fldCharType="end"/>
            </w:r>
          </w:p>
        </w:tc>
        <w:tc>
          <w:tcPr>
            <w:tcW w:w="1320" w:type="dxa"/>
            <w:tcMar>
              <w:left w:w="28" w:type="dxa"/>
              <w:right w:w="28" w:type="dxa"/>
            </w:tcMar>
            <w:vAlign w:val="center"/>
          </w:tcPr>
          <w:p w14:paraId="49A50DC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现有工程许可排放量</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2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②</w:t>
            </w:r>
            <w:r>
              <w:rPr>
                <w:rFonts w:hint="default" w:ascii="Times New Roman" w:hAnsi="Times New Roman" w:eastAsia="宋体" w:cs="Times New Roman"/>
                <w:color w:val="auto"/>
                <w:spacing w:val="0"/>
                <w:position w:val="0"/>
                <w:sz w:val="21"/>
                <w:szCs w:val="21"/>
              </w:rPr>
              <w:fldChar w:fldCharType="end"/>
            </w:r>
          </w:p>
        </w:tc>
        <w:tc>
          <w:tcPr>
            <w:tcW w:w="1560" w:type="dxa"/>
            <w:tcMar>
              <w:left w:w="28" w:type="dxa"/>
              <w:right w:w="28" w:type="dxa"/>
            </w:tcMar>
            <w:vAlign w:val="center"/>
          </w:tcPr>
          <w:p w14:paraId="3660099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在建工程</w:t>
            </w:r>
          </w:p>
          <w:p w14:paraId="40FE217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排放量（固体废物产生量）</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3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③</w:t>
            </w:r>
            <w:r>
              <w:rPr>
                <w:rFonts w:hint="default" w:ascii="Times New Roman" w:hAnsi="Times New Roman" w:eastAsia="宋体" w:cs="Times New Roman"/>
                <w:color w:val="auto"/>
                <w:spacing w:val="0"/>
                <w:position w:val="0"/>
                <w:sz w:val="21"/>
                <w:szCs w:val="21"/>
              </w:rPr>
              <w:fldChar w:fldCharType="end"/>
            </w:r>
          </w:p>
        </w:tc>
        <w:tc>
          <w:tcPr>
            <w:tcW w:w="1559" w:type="dxa"/>
            <w:tcMar>
              <w:left w:w="28" w:type="dxa"/>
              <w:right w:w="28" w:type="dxa"/>
            </w:tcMar>
            <w:vAlign w:val="center"/>
          </w:tcPr>
          <w:p w14:paraId="239144B2">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本项目</w:t>
            </w:r>
          </w:p>
          <w:p w14:paraId="63078F9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排放量（固体废物产生量）</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4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④</w:t>
            </w:r>
            <w:r>
              <w:rPr>
                <w:rFonts w:hint="default" w:ascii="Times New Roman" w:hAnsi="Times New Roman" w:eastAsia="宋体" w:cs="Times New Roman"/>
                <w:color w:val="auto"/>
                <w:spacing w:val="0"/>
                <w:position w:val="0"/>
                <w:sz w:val="21"/>
                <w:szCs w:val="21"/>
              </w:rPr>
              <w:fldChar w:fldCharType="end"/>
            </w:r>
          </w:p>
        </w:tc>
        <w:tc>
          <w:tcPr>
            <w:tcW w:w="1290" w:type="dxa"/>
            <w:tcMar>
              <w:left w:w="28" w:type="dxa"/>
              <w:right w:w="28" w:type="dxa"/>
            </w:tcMar>
            <w:vAlign w:val="center"/>
          </w:tcPr>
          <w:p w14:paraId="4F6031E8">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以新带老削减量（新建项目不填）</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5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⑤</w:t>
            </w:r>
            <w:r>
              <w:rPr>
                <w:rFonts w:hint="default" w:ascii="Times New Roman" w:hAnsi="Times New Roman" w:eastAsia="宋体" w:cs="Times New Roman"/>
                <w:color w:val="auto"/>
                <w:spacing w:val="0"/>
                <w:position w:val="0"/>
                <w:sz w:val="21"/>
                <w:szCs w:val="21"/>
              </w:rPr>
              <w:fldChar w:fldCharType="end"/>
            </w:r>
          </w:p>
        </w:tc>
        <w:tc>
          <w:tcPr>
            <w:tcW w:w="1711" w:type="dxa"/>
            <w:tcMar>
              <w:left w:w="28" w:type="dxa"/>
              <w:right w:w="28" w:type="dxa"/>
            </w:tcMar>
            <w:vAlign w:val="center"/>
          </w:tcPr>
          <w:p w14:paraId="21C1A180">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本项目建成后</w:t>
            </w:r>
          </w:p>
          <w:p w14:paraId="1B9E03B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全厂排放量（固体废物产生量）</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6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⑥</w:t>
            </w:r>
            <w:r>
              <w:rPr>
                <w:rFonts w:hint="default" w:ascii="Times New Roman" w:hAnsi="Times New Roman" w:eastAsia="宋体" w:cs="Times New Roman"/>
                <w:color w:val="auto"/>
                <w:spacing w:val="0"/>
                <w:position w:val="0"/>
                <w:sz w:val="21"/>
                <w:szCs w:val="21"/>
              </w:rPr>
              <w:fldChar w:fldCharType="end"/>
            </w:r>
          </w:p>
        </w:tc>
        <w:tc>
          <w:tcPr>
            <w:tcW w:w="1498" w:type="dxa"/>
            <w:tcMar>
              <w:left w:w="28" w:type="dxa"/>
              <w:right w:w="28" w:type="dxa"/>
            </w:tcMar>
            <w:vAlign w:val="center"/>
          </w:tcPr>
          <w:p w14:paraId="603D206C">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变化量</w:t>
            </w:r>
          </w:p>
          <w:p w14:paraId="0996A242">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 7 \* GB3 \* MERGEFORMAT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⑦</w:t>
            </w:r>
            <w:r>
              <w:rPr>
                <w:rFonts w:hint="default" w:ascii="Times New Roman" w:hAnsi="Times New Roman" w:eastAsia="宋体" w:cs="Times New Roman"/>
                <w:color w:val="auto"/>
                <w:spacing w:val="0"/>
                <w:position w:val="0"/>
                <w:sz w:val="21"/>
                <w:szCs w:val="21"/>
              </w:rPr>
              <w:fldChar w:fldCharType="end"/>
            </w:r>
          </w:p>
        </w:tc>
      </w:tr>
      <w:tr w14:paraId="66807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85" w:type="dxa"/>
            <w:vMerge w:val="restart"/>
            <w:vAlign w:val="center"/>
          </w:tcPr>
          <w:p w14:paraId="63AC0069">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废气</w:t>
            </w:r>
          </w:p>
        </w:tc>
        <w:tc>
          <w:tcPr>
            <w:tcW w:w="1920" w:type="dxa"/>
            <w:vAlign w:val="center"/>
          </w:tcPr>
          <w:p w14:paraId="08B676A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颗粒物</w:t>
            </w:r>
          </w:p>
        </w:tc>
        <w:tc>
          <w:tcPr>
            <w:tcW w:w="1845" w:type="dxa"/>
            <w:vAlign w:val="center"/>
          </w:tcPr>
          <w:p w14:paraId="04305F5C">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0</w:t>
            </w:r>
          </w:p>
        </w:tc>
        <w:tc>
          <w:tcPr>
            <w:tcW w:w="1320" w:type="dxa"/>
            <w:vAlign w:val="center"/>
          </w:tcPr>
          <w:p w14:paraId="4D7E372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4096106F">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0FAD1249">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0.27</w:t>
            </w:r>
            <w:r>
              <w:rPr>
                <w:rFonts w:hint="default" w:ascii="Times New Roman" w:hAnsi="Times New Roman" w:eastAsia="宋体" w:cs="Times New Roman"/>
                <w:color w:val="auto"/>
                <w:spacing w:val="0"/>
                <w:position w:val="0"/>
                <w:sz w:val="21"/>
                <w:szCs w:val="21"/>
              </w:rPr>
              <w:t>t/a</w:t>
            </w:r>
          </w:p>
        </w:tc>
        <w:tc>
          <w:tcPr>
            <w:tcW w:w="1290" w:type="dxa"/>
            <w:vAlign w:val="center"/>
          </w:tcPr>
          <w:p w14:paraId="79C0846A">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6538BC1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0.27</w:t>
            </w:r>
            <w:r>
              <w:rPr>
                <w:rFonts w:hint="default" w:ascii="Times New Roman" w:hAnsi="Times New Roman" w:eastAsia="宋体" w:cs="Times New Roman"/>
                <w:color w:val="auto"/>
                <w:spacing w:val="0"/>
                <w:position w:val="0"/>
                <w:sz w:val="21"/>
                <w:szCs w:val="21"/>
              </w:rPr>
              <w:t>t/a</w:t>
            </w:r>
          </w:p>
        </w:tc>
        <w:tc>
          <w:tcPr>
            <w:tcW w:w="1498" w:type="dxa"/>
            <w:vAlign w:val="center"/>
          </w:tcPr>
          <w:p w14:paraId="7E4029E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+0.27</w:t>
            </w:r>
            <w:r>
              <w:rPr>
                <w:rFonts w:hint="default" w:ascii="Times New Roman" w:hAnsi="Times New Roman" w:eastAsia="宋体" w:cs="Times New Roman"/>
                <w:color w:val="auto"/>
                <w:spacing w:val="0"/>
                <w:position w:val="0"/>
                <w:sz w:val="21"/>
                <w:szCs w:val="21"/>
              </w:rPr>
              <w:t>t/a</w:t>
            </w:r>
          </w:p>
        </w:tc>
      </w:tr>
      <w:tr w14:paraId="5BA70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85" w:type="dxa"/>
            <w:vMerge w:val="continue"/>
            <w:vAlign w:val="center"/>
          </w:tcPr>
          <w:p w14:paraId="6383A768">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920" w:type="dxa"/>
            <w:vAlign w:val="center"/>
          </w:tcPr>
          <w:p w14:paraId="21B8C8F9">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非甲烷总烃</w:t>
            </w:r>
          </w:p>
        </w:tc>
        <w:tc>
          <w:tcPr>
            <w:tcW w:w="1845" w:type="dxa"/>
            <w:vAlign w:val="center"/>
          </w:tcPr>
          <w:p w14:paraId="4E02013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6.5</w:t>
            </w:r>
            <w:r>
              <w:rPr>
                <w:rFonts w:hint="default" w:ascii="Times New Roman" w:hAnsi="Times New Roman" w:eastAsia="宋体" w:cs="Times New Roman"/>
                <w:color w:val="auto"/>
                <w:spacing w:val="0"/>
                <w:position w:val="0"/>
                <w:sz w:val="21"/>
                <w:szCs w:val="21"/>
              </w:rPr>
              <w:t>t/a</w:t>
            </w:r>
          </w:p>
        </w:tc>
        <w:tc>
          <w:tcPr>
            <w:tcW w:w="1320" w:type="dxa"/>
            <w:vAlign w:val="center"/>
          </w:tcPr>
          <w:p w14:paraId="6AE301DC">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6C0B34A5">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02BAA219">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2.16</w:t>
            </w:r>
            <w:r>
              <w:rPr>
                <w:rFonts w:hint="default" w:ascii="Times New Roman" w:hAnsi="Times New Roman" w:eastAsia="宋体" w:cs="Times New Roman"/>
                <w:color w:val="auto"/>
                <w:spacing w:val="0"/>
                <w:position w:val="0"/>
                <w:sz w:val="21"/>
                <w:szCs w:val="21"/>
              </w:rPr>
              <w:t>t/a</w:t>
            </w:r>
          </w:p>
        </w:tc>
        <w:tc>
          <w:tcPr>
            <w:tcW w:w="1290" w:type="dxa"/>
            <w:vAlign w:val="center"/>
          </w:tcPr>
          <w:p w14:paraId="0E492DA2">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rPr>
            </w:pPr>
            <w:r>
              <w:rPr>
                <w:rFonts w:hint="eastAsia" w:cs="Times New Roman"/>
                <w:color w:val="auto"/>
                <w:spacing w:val="0"/>
                <w:position w:val="0"/>
                <w:sz w:val="21"/>
                <w:szCs w:val="21"/>
                <w:lang w:val="en-US" w:eastAsia="zh-CN"/>
              </w:rPr>
              <w:t>4.8</w:t>
            </w:r>
            <w:r>
              <w:rPr>
                <w:rFonts w:hint="default" w:ascii="Times New Roman" w:hAnsi="Times New Roman" w:eastAsia="宋体" w:cs="Times New Roman"/>
                <w:color w:val="auto"/>
                <w:spacing w:val="0"/>
                <w:position w:val="0"/>
                <w:sz w:val="21"/>
                <w:szCs w:val="21"/>
              </w:rPr>
              <w:t>t/a</w:t>
            </w:r>
          </w:p>
        </w:tc>
        <w:tc>
          <w:tcPr>
            <w:tcW w:w="1711" w:type="dxa"/>
            <w:vAlign w:val="center"/>
          </w:tcPr>
          <w:p w14:paraId="4CD6E210">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3.86</w:t>
            </w:r>
            <w:r>
              <w:rPr>
                <w:rFonts w:hint="default" w:ascii="Times New Roman" w:hAnsi="Times New Roman" w:eastAsia="宋体" w:cs="Times New Roman"/>
                <w:color w:val="auto"/>
                <w:spacing w:val="0"/>
                <w:position w:val="0"/>
                <w:sz w:val="21"/>
                <w:szCs w:val="21"/>
              </w:rPr>
              <w:t>t/a</w:t>
            </w:r>
          </w:p>
        </w:tc>
        <w:tc>
          <w:tcPr>
            <w:tcW w:w="1498" w:type="dxa"/>
            <w:vAlign w:val="center"/>
          </w:tcPr>
          <w:p w14:paraId="3607DFB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-2.64</w:t>
            </w:r>
            <w:r>
              <w:rPr>
                <w:rFonts w:hint="default" w:ascii="Times New Roman" w:hAnsi="Times New Roman" w:eastAsia="宋体" w:cs="Times New Roman"/>
                <w:color w:val="auto"/>
                <w:spacing w:val="0"/>
                <w:position w:val="0"/>
                <w:sz w:val="21"/>
                <w:szCs w:val="21"/>
              </w:rPr>
              <w:t>t/a</w:t>
            </w:r>
          </w:p>
        </w:tc>
      </w:tr>
      <w:tr w14:paraId="33BD4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85" w:type="dxa"/>
            <w:vMerge w:val="continue"/>
            <w:vAlign w:val="center"/>
          </w:tcPr>
          <w:p w14:paraId="3485500A">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pPr>
          </w:p>
        </w:tc>
        <w:tc>
          <w:tcPr>
            <w:tcW w:w="1920" w:type="dxa"/>
            <w:vAlign w:val="center"/>
          </w:tcPr>
          <w:p w14:paraId="455EEB71">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氯化氢</w:t>
            </w:r>
          </w:p>
        </w:tc>
        <w:tc>
          <w:tcPr>
            <w:tcW w:w="1845" w:type="dxa"/>
            <w:vAlign w:val="center"/>
          </w:tcPr>
          <w:p w14:paraId="1326A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0</w:t>
            </w:r>
          </w:p>
        </w:tc>
        <w:tc>
          <w:tcPr>
            <w:tcW w:w="1320" w:type="dxa"/>
            <w:vAlign w:val="center"/>
          </w:tcPr>
          <w:p w14:paraId="34895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766FEA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2B636903">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0.00235</w:t>
            </w:r>
            <w:r>
              <w:rPr>
                <w:rFonts w:hint="default" w:ascii="Times New Roman" w:hAnsi="Times New Roman" w:eastAsia="宋体" w:cs="Times New Roman"/>
                <w:color w:val="auto"/>
                <w:spacing w:val="0"/>
                <w:position w:val="0"/>
                <w:sz w:val="21"/>
                <w:szCs w:val="21"/>
              </w:rPr>
              <w:t>t/a</w:t>
            </w:r>
          </w:p>
        </w:tc>
        <w:tc>
          <w:tcPr>
            <w:tcW w:w="1290" w:type="dxa"/>
            <w:vAlign w:val="center"/>
          </w:tcPr>
          <w:p w14:paraId="6A3DEA2F">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7EC8F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0.00235</w:t>
            </w:r>
            <w:r>
              <w:rPr>
                <w:rFonts w:hint="default" w:ascii="Times New Roman" w:hAnsi="Times New Roman" w:eastAsia="宋体" w:cs="Times New Roman"/>
                <w:color w:val="auto"/>
                <w:spacing w:val="0"/>
                <w:position w:val="0"/>
                <w:sz w:val="21"/>
                <w:szCs w:val="21"/>
              </w:rPr>
              <w:t>t/a</w:t>
            </w:r>
          </w:p>
        </w:tc>
        <w:tc>
          <w:tcPr>
            <w:tcW w:w="1498" w:type="dxa"/>
            <w:vAlign w:val="center"/>
          </w:tcPr>
          <w:p w14:paraId="5ED08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+0.00235</w:t>
            </w:r>
            <w:r>
              <w:rPr>
                <w:rFonts w:hint="default" w:ascii="Times New Roman" w:hAnsi="Times New Roman" w:eastAsia="宋体" w:cs="Times New Roman"/>
                <w:color w:val="auto"/>
                <w:spacing w:val="0"/>
                <w:position w:val="0"/>
                <w:sz w:val="21"/>
                <w:szCs w:val="21"/>
              </w:rPr>
              <w:t>t/a</w:t>
            </w:r>
          </w:p>
        </w:tc>
      </w:tr>
      <w:tr w14:paraId="740A3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dxa"/>
            <w:vAlign w:val="center"/>
          </w:tcPr>
          <w:p w14:paraId="1789C5C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废水</w:t>
            </w:r>
          </w:p>
        </w:tc>
        <w:tc>
          <w:tcPr>
            <w:tcW w:w="1920" w:type="dxa"/>
            <w:vAlign w:val="center"/>
          </w:tcPr>
          <w:p w14:paraId="2E479F0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排水量</w:t>
            </w:r>
          </w:p>
        </w:tc>
        <w:tc>
          <w:tcPr>
            <w:tcW w:w="1845" w:type="dxa"/>
            <w:vAlign w:val="center"/>
          </w:tcPr>
          <w:p w14:paraId="7015E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rPr>
            </w:pPr>
            <w:r>
              <w:rPr>
                <w:rFonts w:hint="eastAsia" w:cs="Times New Roman"/>
                <w:color w:val="auto"/>
                <w:spacing w:val="0"/>
                <w:position w:val="0"/>
                <w:sz w:val="21"/>
                <w:szCs w:val="21"/>
                <w:lang w:val="en-US" w:eastAsia="zh-CN"/>
              </w:rPr>
              <w:t>425</w:t>
            </w:r>
            <w:r>
              <w:rPr>
                <w:rFonts w:hint="default" w:ascii="Times New Roman" w:hAnsi="Times New Roman" w:eastAsia="宋体" w:cs="Times New Roman"/>
                <w:color w:val="auto"/>
                <w:spacing w:val="0"/>
                <w:position w:val="0"/>
                <w:sz w:val="21"/>
                <w:szCs w:val="21"/>
              </w:rPr>
              <w:t>t/a</w:t>
            </w:r>
          </w:p>
        </w:tc>
        <w:tc>
          <w:tcPr>
            <w:tcW w:w="1320" w:type="dxa"/>
            <w:vAlign w:val="center"/>
          </w:tcPr>
          <w:p w14:paraId="47DFB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65708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6C97C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rPr>
            </w:pPr>
            <w:r>
              <w:rPr>
                <w:rFonts w:hint="eastAsia" w:cs="Times New Roman"/>
                <w:color w:val="auto"/>
                <w:spacing w:val="0"/>
                <w:position w:val="0"/>
                <w:sz w:val="21"/>
                <w:szCs w:val="21"/>
                <w:lang w:val="en-US" w:eastAsia="zh-CN"/>
              </w:rPr>
              <w:t>270</w:t>
            </w:r>
            <w:r>
              <w:rPr>
                <w:rFonts w:hint="default" w:ascii="Times New Roman" w:hAnsi="Times New Roman" w:eastAsia="宋体" w:cs="Times New Roman"/>
                <w:color w:val="auto"/>
                <w:spacing w:val="0"/>
                <w:position w:val="0"/>
                <w:sz w:val="21"/>
                <w:szCs w:val="21"/>
              </w:rPr>
              <w:t>t/a</w:t>
            </w:r>
          </w:p>
        </w:tc>
        <w:tc>
          <w:tcPr>
            <w:tcW w:w="1290" w:type="dxa"/>
            <w:vAlign w:val="center"/>
          </w:tcPr>
          <w:p w14:paraId="324E9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29CC7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695</w:t>
            </w:r>
            <w:r>
              <w:rPr>
                <w:rFonts w:hint="default" w:ascii="Times New Roman" w:hAnsi="Times New Roman" w:eastAsia="宋体" w:cs="Times New Roman"/>
                <w:color w:val="auto"/>
                <w:spacing w:val="0"/>
                <w:position w:val="0"/>
                <w:sz w:val="21"/>
                <w:szCs w:val="21"/>
              </w:rPr>
              <w:t>t/a</w:t>
            </w:r>
          </w:p>
        </w:tc>
        <w:tc>
          <w:tcPr>
            <w:tcW w:w="1498" w:type="dxa"/>
            <w:vAlign w:val="center"/>
          </w:tcPr>
          <w:p w14:paraId="547FC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+270</w:t>
            </w:r>
            <w:r>
              <w:rPr>
                <w:rFonts w:hint="default" w:ascii="Times New Roman" w:hAnsi="Times New Roman" w:eastAsia="宋体" w:cs="Times New Roman"/>
                <w:color w:val="auto"/>
                <w:spacing w:val="0"/>
                <w:position w:val="0"/>
                <w:sz w:val="21"/>
                <w:szCs w:val="21"/>
              </w:rPr>
              <w:t>t/a</w:t>
            </w:r>
          </w:p>
        </w:tc>
      </w:tr>
      <w:tr w14:paraId="3B711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14:paraId="598F5B0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c>
          <w:tcPr>
            <w:tcW w:w="1920" w:type="dxa"/>
            <w:vAlign w:val="center"/>
          </w:tcPr>
          <w:p w14:paraId="4B59050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c>
          <w:tcPr>
            <w:tcW w:w="1845" w:type="dxa"/>
            <w:vAlign w:val="center"/>
          </w:tcPr>
          <w:p w14:paraId="5A2D08F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rPr>
            </w:pPr>
            <w:r>
              <w:rPr>
                <w:rFonts w:hint="eastAsia" w:cs="Times New Roman"/>
                <w:color w:val="auto"/>
                <w:spacing w:val="0"/>
                <w:position w:val="0"/>
                <w:sz w:val="21"/>
                <w:szCs w:val="21"/>
                <w:lang w:val="en-US" w:eastAsia="zh-CN"/>
              </w:rPr>
              <w:t>2.5</w:t>
            </w:r>
            <w:r>
              <w:rPr>
                <w:rFonts w:hint="default" w:ascii="Times New Roman" w:hAnsi="Times New Roman" w:eastAsia="宋体" w:cs="Times New Roman"/>
                <w:color w:val="auto"/>
                <w:spacing w:val="0"/>
                <w:position w:val="0"/>
                <w:sz w:val="21"/>
                <w:szCs w:val="21"/>
              </w:rPr>
              <w:t>t/a</w:t>
            </w:r>
          </w:p>
        </w:tc>
        <w:tc>
          <w:tcPr>
            <w:tcW w:w="1320" w:type="dxa"/>
            <w:vAlign w:val="center"/>
          </w:tcPr>
          <w:p w14:paraId="3F39FDEC">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7F48D18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703EB651">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1.8</w:t>
            </w:r>
            <w:r>
              <w:rPr>
                <w:rFonts w:hint="default" w:ascii="Times New Roman" w:hAnsi="Times New Roman" w:eastAsia="宋体" w:cs="Times New Roman"/>
                <w:color w:val="auto"/>
                <w:spacing w:val="0"/>
                <w:position w:val="0"/>
                <w:sz w:val="21"/>
                <w:szCs w:val="21"/>
              </w:rPr>
              <w:t>t/a</w:t>
            </w:r>
          </w:p>
        </w:tc>
        <w:tc>
          <w:tcPr>
            <w:tcW w:w="1290" w:type="dxa"/>
            <w:vAlign w:val="center"/>
          </w:tcPr>
          <w:p w14:paraId="2430DB1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49893BA8">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pacing w:val="0"/>
                <w:position w:val="0"/>
                <w:sz w:val="21"/>
                <w:szCs w:val="21"/>
                <w:lang w:val="en-US" w:eastAsia="zh-CN"/>
              </w:rPr>
              <w:t>4.3</w:t>
            </w:r>
            <w:r>
              <w:rPr>
                <w:rFonts w:hint="default" w:ascii="Times New Roman" w:hAnsi="Times New Roman" w:eastAsia="宋体" w:cs="Times New Roman"/>
                <w:color w:val="auto"/>
                <w:spacing w:val="0"/>
                <w:position w:val="0"/>
                <w:sz w:val="21"/>
                <w:szCs w:val="21"/>
              </w:rPr>
              <w:t>t/a</w:t>
            </w:r>
          </w:p>
        </w:tc>
        <w:tc>
          <w:tcPr>
            <w:tcW w:w="1498" w:type="dxa"/>
            <w:vAlign w:val="center"/>
          </w:tcPr>
          <w:p w14:paraId="5123E3A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+1.8</w:t>
            </w:r>
            <w:r>
              <w:rPr>
                <w:rFonts w:hint="default" w:ascii="Times New Roman" w:hAnsi="Times New Roman" w:eastAsia="宋体" w:cs="Times New Roman"/>
                <w:color w:val="auto"/>
                <w:spacing w:val="0"/>
                <w:position w:val="0"/>
                <w:sz w:val="21"/>
                <w:szCs w:val="21"/>
              </w:rPr>
              <w:t>t/a</w:t>
            </w:r>
          </w:p>
        </w:tc>
      </w:tr>
      <w:tr w14:paraId="36F26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85" w:type="dxa"/>
            <w:vMerge w:val="restart"/>
            <w:vAlign w:val="center"/>
          </w:tcPr>
          <w:p w14:paraId="68B1ACC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一般工业固体废物</w:t>
            </w:r>
          </w:p>
        </w:tc>
        <w:tc>
          <w:tcPr>
            <w:tcW w:w="1920" w:type="dxa"/>
            <w:vAlign w:val="center"/>
          </w:tcPr>
          <w:p w14:paraId="30A32C2B">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废包装材料</w:t>
            </w:r>
          </w:p>
        </w:tc>
        <w:tc>
          <w:tcPr>
            <w:tcW w:w="1845" w:type="dxa"/>
            <w:vAlign w:val="center"/>
          </w:tcPr>
          <w:p w14:paraId="13278AD1">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320" w:type="dxa"/>
            <w:vAlign w:val="center"/>
          </w:tcPr>
          <w:p w14:paraId="065B407A">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3003F7D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42B9DCD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0.01t/a</w:t>
            </w:r>
          </w:p>
        </w:tc>
        <w:tc>
          <w:tcPr>
            <w:tcW w:w="1290" w:type="dxa"/>
            <w:vAlign w:val="center"/>
          </w:tcPr>
          <w:p w14:paraId="5E35659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6CCB72F2">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0.01t/a</w:t>
            </w:r>
          </w:p>
        </w:tc>
        <w:tc>
          <w:tcPr>
            <w:tcW w:w="1498" w:type="dxa"/>
            <w:vAlign w:val="center"/>
          </w:tcPr>
          <w:p w14:paraId="06B7A162">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0.01t/a</w:t>
            </w:r>
          </w:p>
        </w:tc>
      </w:tr>
      <w:tr w14:paraId="46C42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085" w:type="dxa"/>
            <w:vMerge w:val="restart"/>
            <w:vAlign w:val="center"/>
          </w:tcPr>
          <w:p w14:paraId="6BEA9DE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危险废物</w:t>
            </w:r>
          </w:p>
        </w:tc>
        <w:tc>
          <w:tcPr>
            <w:tcW w:w="1920" w:type="dxa"/>
            <w:vAlign w:val="center"/>
          </w:tcPr>
          <w:p w14:paraId="093E812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w:t>
            </w:r>
            <w:r>
              <w:rPr>
                <w:rFonts w:hint="default" w:ascii="Times New Roman" w:hAnsi="Times New Roman" w:eastAsia="宋体" w:cs="Times New Roman"/>
                <w:color w:val="auto"/>
                <w:spacing w:val="0"/>
                <w:position w:val="0"/>
                <w:sz w:val="21"/>
                <w:szCs w:val="21"/>
                <w:lang w:val="en-US" w:eastAsia="zh-CN"/>
              </w:rPr>
              <w:t>矿物</w:t>
            </w:r>
            <w:r>
              <w:rPr>
                <w:rFonts w:hint="default" w:ascii="Times New Roman" w:hAnsi="Times New Roman" w:eastAsia="宋体" w:cs="Times New Roman"/>
                <w:color w:val="auto"/>
                <w:spacing w:val="0"/>
                <w:position w:val="0"/>
                <w:sz w:val="21"/>
                <w:szCs w:val="21"/>
              </w:rPr>
              <w:t>油</w:t>
            </w:r>
          </w:p>
        </w:tc>
        <w:tc>
          <w:tcPr>
            <w:tcW w:w="1845" w:type="dxa"/>
            <w:vAlign w:val="center"/>
          </w:tcPr>
          <w:p w14:paraId="0A45B5B1">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320" w:type="dxa"/>
            <w:vAlign w:val="center"/>
          </w:tcPr>
          <w:p w14:paraId="4E49C00C">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7603DC70">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6DFE4D64">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0.1</w:t>
            </w:r>
            <w:r>
              <w:rPr>
                <w:rFonts w:hint="default" w:ascii="Times New Roman" w:hAnsi="Times New Roman" w:eastAsia="宋体" w:cs="Times New Roman"/>
                <w:color w:val="auto"/>
                <w:spacing w:val="0"/>
                <w:position w:val="0"/>
                <w:sz w:val="21"/>
                <w:szCs w:val="21"/>
              </w:rPr>
              <w:t>t/a</w:t>
            </w:r>
          </w:p>
        </w:tc>
        <w:tc>
          <w:tcPr>
            <w:tcW w:w="1290" w:type="dxa"/>
            <w:vAlign w:val="center"/>
          </w:tcPr>
          <w:p w14:paraId="0DE64DAC">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2AC341C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0.1</w:t>
            </w:r>
            <w:r>
              <w:rPr>
                <w:rFonts w:hint="default" w:ascii="Times New Roman" w:hAnsi="Times New Roman" w:eastAsia="宋体" w:cs="Times New Roman"/>
                <w:color w:val="auto"/>
                <w:spacing w:val="0"/>
                <w:position w:val="0"/>
                <w:sz w:val="21"/>
                <w:szCs w:val="21"/>
              </w:rPr>
              <w:t>t/a</w:t>
            </w:r>
          </w:p>
        </w:tc>
        <w:tc>
          <w:tcPr>
            <w:tcW w:w="1498" w:type="dxa"/>
            <w:vAlign w:val="center"/>
          </w:tcPr>
          <w:p w14:paraId="6989011A">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+0.1</w:t>
            </w:r>
            <w:r>
              <w:rPr>
                <w:rFonts w:hint="default" w:ascii="Times New Roman" w:hAnsi="Times New Roman" w:eastAsia="宋体" w:cs="Times New Roman"/>
                <w:color w:val="auto"/>
                <w:spacing w:val="0"/>
                <w:position w:val="0"/>
                <w:sz w:val="21"/>
                <w:szCs w:val="21"/>
              </w:rPr>
              <w:t>t/a</w:t>
            </w:r>
          </w:p>
        </w:tc>
      </w:tr>
      <w:tr w14:paraId="55749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085" w:type="dxa"/>
            <w:vMerge w:val="continue"/>
            <w:vAlign w:val="center"/>
          </w:tcPr>
          <w:p w14:paraId="4063C0DE">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920" w:type="dxa"/>
            <w:vAlign w:val="center"/>
          </w:tcPr>
          <w:p w14:paraId="31B62F8D">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废</w:t>
            </w:r>
            <w:r>
              <w:rPr>
                <w:rFonts w:hint="default" w:ascii="Times New Roman" w:hAnsi="Times New Roman" w:eastAsia="宋体" w:cs="Times New Roman"/>
                <w:color w:val="auto"/>
                <w:spacing w:val="0"/>
                <w:position w:val="0"/>
                <w:sz w:val="21"/>
                <w:szCs w:val="21"/>
                <w:lang w:val="en-US" w:eastAsia="zh-CN"/>
              </w:rPr>
              <w:t>催化剂</w:t>
            </w:r>
          </w:p>
        </w:tc>
        <w:tc>
          <w:tcPr>
            <w:tcW w:w="1845" w:type="dxa"/>
            <w:vAlign w:val="center"/>
          </w:tcPr>
          <w:p w14:paraId="6E8BA24F">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320" w:type="dxa"/>
            <w:vAlign w:val="center"/>
          </w:tcPr>
          <w:p w14:paraId="4B07AB6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5CCEB092">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0E0F015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w:t>
            </w:r>
            <w:r>
              <w:rPr>
                <w:rFonts w:hint="default" w:ascii="Times New Roman" w:hAnsi="Times New Roman" w:eastAsia="宋体" w:cs="Times New Roman"/>
                <w:color w:val="auto"/>
                <w:spacing w:val="0"/>
                <w:position w:val="0"/>
                <w:sz w:val="21"/>
                <w:szCs w:val="21"/>
                <w:lang w:val="en-US" w:eastAsia="zh-CN"/>
              </w:rPr>
              <w:t>18</w:t>
            </w:r>
            <w:r>
              <w:rPr>
                <w:rFonts w:hint="default" w:ascii="Times New Roman" w:hAnsi="Times New Roman" w:eastAsia="宋体" w:cs="Times New Roman"/>
                <w:color w:val="auto"/>
                <w:spacing w:val="0"/>
                <w:position w:val="0"/>
                <w:sz w:val="21"/>
                <w:szCs w:val="21"/>
              </w:rPr>
              <w:t>t/a</w:t>
            </w:r>
          </w:p>
        </w:tc>
        <w:tc>
          <w:tcPr>
            <w:tcW w:w="1290" w:type="dxa"/>
            <w:vAlign w:val="center"/>
          </w:tcPr>
          <w:p w14:paraId="5F8E5865">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63199BF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w:t>
            </w:r>
            <w:r>
              <w:rPr>
                <w:rFonts w:hint="default" w:ascii="Times New Roman" w:hAnsi="Times New Roman" w:eastAsia="宋体" w:cs="Times New Roman"/>
                <w:color w:val="auto"/>
                <w:spacing w:val="0"/>
                <w:position w:val="0"/>
                <w:sz w:val="21"/>
                <w:szCs w:val="21"/>
                <w:lang w:val="en-US" w:eastAsia="zh-CN"/>
              </w:rPr>
              <w:t>18</w:t>
            </w:r>
            <w:r>
              <w:rPr>
                <w:rFonts w:hint="default" w:ascii="Times New Roman" w:hAnsi="Times New Roman" w:eastAsia="宋体" w:cs="Times New Roman"/>
                <w:color w:val="auto"/>
                <w:spacing w:val="0"/>
                <w:position w:val="0"/>
                <w:sz w:val="21"/>
                <w:szCs w:val="21"/>
              </w:rPr>
              <w:t>t/a</w:t>
            </w:r>
          </w:p>
        </w:tc>
        <w:tc>
          <w:tcPr>
            <w:tcW w:w="1498" w:type="dxa"/>
            <w:vAlign w:val="center"/>
          </w:tcPr>
          <w:p w14:paraId="0F494A1C">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0.</w:t>
            </w:r>
            <w:r>
              <w:rPr>
                <w:rFonts w:hint="default" w:ascii="Times New Roman" w:hAnsi="Times New Roman" w:eastAsia="宋体" w:cs="Times New Roman"/>
                <w:color w:val="auto"/>
                <w:spacing w:val="0"/>
                <w:position w:val="0"/>
                <w:sz w:val="21"/>
                <w:szCs w:val="21"/>
                <w:lang w:val="en-US" w:eastAsia="zh-CN"/>
              </w:rPr>
              <w:t>18</w:t>
            </w:r>
            <w:r>
              <w:rPr>
                <w:rFonts w:hint="default" w:ascii="Times New Roman" w:hAnsi="Times New Roman" w:eastAsia="宋体" w:cs="Times New Roman"/>
                <w:color w:val="auto"/>
                <w:spacing w:val="0"/>
                <w:position w:val="0"/>
                <w:sz w:val="21"/>
                <w:szCs w:val="21"/>
              </w:rPr>
              <w:t>t/a</w:t>
            </w:r>
          </w:p>
        </w:tc>
      </w:tr>
      <w:tr w14:paraId="6DBBD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085" w:type="dxa"/>
            <w:vMerge w:val="continue"/>
            <w:vAlign w:val="center"/>
          </w:tcPr>
          <w:p w14:paraId="3B20DD08">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spacing w:val="0"/>
                <w:position w:val="0"/>
                <w:sz w:val="21"/>
                <w:szCs w:val="21"/>
              </w:rPr>
            </w:pPr>
          </w:p>
        </w:tc>
        <w:tc>
          <w:tcPr>
            <w:tcW w:w="1920" w:type="dxa"/>
            <w:vAlign w:val="center"/>
          </w:tcPr>
          <w:p w14:paraId="5B6C4775">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废活性炭</w:t>
            </w:r>
          </w:p>
        </w:tc>
        <w:tc>
          <w:tcPr>
            <w:tcW w:w="1845" w:type="dxa"/>
            <w:vAlign w:val="center"/>
          </w:tcPr>
          <w:p w14:paraId="3E43A56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320" w:type="dxa"/>
            <w:vAlign w:val="center"/>
          </w:tcPr>
          <w:p w14:paraId="39CAF2E4">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60" w:type="dxa"/>
            <w:vAlign w:val="center"/>
          </w:tcPr>
          <w:p w14:paraId="22E8B4C7">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559" w:type="dxa"/>
            <w:vAlign w:val="center"/>
          </w:tcPr>
          <w:p w14:paraId="280AD54F">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1</w:t>
            </w:r>
            <w:r>
              <w:rPr>
                <w:rFonts w:hint="default" w:ascii="Times New Roman" w:hAnsi="Times New Roman" w:eastAsia="宋体" w:cs="Times New Roman"/>
                <w:color w:val="auto"/>
                <w:spacing w:val="0"/>
                <w:position w:val="0"/>
                <w:sz w:val="21"/>
                <w:szCs w:val="21"/>
              </w:rPr>
              <w:t>t/a</w:t>
            </w:r>
          </w:p>
        </w:tc>
        <w:tc>
          <w:tcPr>
            <w:tcW w:w="1290" w:type="dxa"/>
            <w:vAlign w:val="center"/>
          </w:tcPr>
          <w:p w14:paraId="6E1B330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w:t>
            </w:r>
          </w:p>
        </w:tc>
        <w:tc>
          <w:tcPr>
            <w:tcW w:w="1711" w:type="dxa"/>
            <w:vAlign w:val="center"/>
          </w:tcPr>
          <w:p w14:paraId="1AE7DDA6">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1</w:t>
            </w:r>
            <w:r>
              <w:rPr>
                <w:rFonts w:hint="default" w:ascii="Times New Roman" w:hAnsi="Times New Roman" w:eastAsia="宋体" w:cs="Times New Roman"/>
                <w:color w:val="auto"/>
                <w:spacing w:val="0"/>
                <w:position w:val="0"/>
                <w:sz w:val="21"/>
                <w:szCs w:val="21"/>
              </w:rPr>
              <w:t>t/a</w:t>
            </w:r>
          </w:p>
        </w:tc>
        <w:tc>
          <w:tcPr>
            <w:tcW w:w="1498" w:type="dxa"/>
            <w:vAlign w:val="center"/>
          </w:tcPr>
          <w:p w14:paraId="461418CF">
            <w:pPr>
              <w:pStyle w:val="9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+1</w:t>
            </w:r>
            <w:r>
              <w:rPr>
                <w:rFonts w:hint="default" w:ascii="Times New Roman" w:hAnsi="Times New Roman" w:eastAsia="宋体" w:cs="Times New Roman"/>
                <w:color w:val="auto"/>
                <w:spacing w:val="0"/>
                <w:position w:val="0"/>
                <w:sz w:val="21"/>
                <w:szCs w:val="21"/>
              </w:rPr>
              <w:t>t/a</w:t>
            </w:r>
          </w:p>
        </w:tc>
      </w:tr>
    </w:tbl>
    <w:p w14:paraId="673193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bCs/>
          <w:color w:val="auto"/>
          <w:spacing w:val="0"/>
          <w:position w:val="0"/>
          <w:szCs w:val="32"/>
          <w:highlight w:val="none"/>
          <w:lang w:val="en-US" w:eastAsia="zh-CN"/>
        </w:rPr>
      </w:pPr>
      <w:r>
        <w:rPr>
          <w:rFonts w:ascii="Times New Roman"/>
          <w:snapToGrid w:val="0"/>
          <w:color w:val="auto"/>
          <w:spacing w:val="0"/>
          <w:kern w:val="21"/>
          <w:position w:val="0"/>
          <w:sz w:val="21"/>
          <w:szCs w:val="21"/>
        </w:rPr>
        <w:t>注：</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6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⑥</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1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①</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3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③</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4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④</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5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⑤</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7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⑦</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6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⑥</w:t>
      </w:r>
      <w:r>
        <w:rPr>
          <w:rFonts w:ascii="Times New Roman"/>
          <w:snapToGrid w:val="0"/>
          <w:color w:val="auto"/>
          <w:spacing w:val="0"/>
          <w:kern w:val="21"/>
          <w:position w:val="0"/>
          <w:sz w:val="21"/>
          <w:szCs w:val="21"/>
        </w:rPr>
        <w:fldChar w:fldCharType="end"/>
      </w:r>
      <w:r>
        <w:rPr>
          <w:rFonts w:ascii="Times New Roman"/>
          <w:snapToGrid w:val="0"/>
          <w:color w:val="auto"/>
          <w:spacing w:val="0"/>
          <w:kern w:val="21"/>
          <w:position w:val="0"/>
          <w:sz w:val="21"/>
          <w:szCs w:val="21"/>
        </w:rPr>
        <w:t>-</w:t>
      </w:r>
      <w:r>
        <w:rPr>
          <w:rFonts w:ascii="Times New Roman"/>
          <w:snapToGrid w:val="0"/>
          <w:color w:val="auto"/>
          <w:spacing w:val="0"/>
          <w:kern w:val="21"/>
          <w:position w:val="0"/>
          <w:sz w:val="21"/>
          <w:szCs w:val="21"/>
        </w:rPr>
        <w:fldChar w:fldCharType="begin"/>
      </w:r>
      <w:r>
        <w:rPr>
          <w:rFonts w:ascii="Times New Roman"/>
          <w:snapToGrid w:val="0"/>
          <w:color w:val="auto"/>
          <w:spacing w:val="0"/>
          <w:kern w:val="21"/>
          <w:position w:val="0"/>
          <w:sz w:val="21"/>
          <w:szCs w:val="21"/>
        </w:rPr>
        <w:instrText xml:space="preserve"> = 1 \* GB3 \* MERGEFORMAT </w:instrText>
      </w:r>
      <w:r>
        <w:rPr>
          <w:rFonts w:ascii="Times New Roman"/>
          <w:snapToGrid w:val="0"/>
          <w:color w:val="auto"/>
          <w:spacing w:val="0"/>
          <w:kern w:val="21"/>
          <w:position w:val="0"/>
          <w:sz w:val="21"/>
          <w:szCs w:val="21"/>
        </w:rPr>
        <w:fldChar w:fldCharType="separate"/>
      </w:r>
      <w:r>
        <w:rPr>
          <w:rFonts w:ascii="Times New Roman"/>
          <w:snapToGrid w:val="0"/>
          <w:color w:val="auto"/>
          <w:spacing w:val="0"/>
          <w:kern w:val="21"/>
          <w:position w:val="0"/>
          <w:sz w:val="21"/>
          <w:szCs w:val="21"/>
        </w:rPr>
        <w:t>①</w:t>
      </w:r>
      <w:r>
        <w:rPr>
          <w:rFonts w:ascii="Times New Roman"/>
          <w:snapToGrid w:val="0"/>
          <w:color w:val="auto"/>
          <w:spacing w:val="0"/>
          <w:kern w:val="21"/>
          <w:position w:val="0"/>
          <w:sz w:val="21"/>
          <w:szCs w:val="21"/>
        </w:rPr>
        <w:fldChar w:fldCharType="end"/>
      </w:r>
    </w:p>
    <w:sectPr>
      <w:footerReference r:id="rId13"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7FFAEFF" w:usb1="F9DFFFFF" w:usb2="0000007F" w:usb3="00000000" w:csb0="203F01FF" w:csb1="DFFF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A5CCC">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30FC8">
    <w:pPr>
      <w:pStyle w:val="18"/>
      <w:framePr w:wrap="around" w:vAnchor="text" w:hAnchor="margin" w:xAlign="center" w:y="1"/>
      <w:ind w:firstLine="360"/>
      <w:rPr>
        <w:rStyle w:val="34"/>
      </w:rPr>
    </w:pPr>
    <w:r>
      <w:fldChar w:fldCharType="begin"/>
    </w:r>
    <w:r>
      <w:rPr>
        <w:rStyle w:val="34"/>
      </w:rPr>
      <w:instrText xml:space="preserve">PAGE  </w:instrText>
    </w:r>
    <w:r>
      <w:fldChar w:fldCharType="end"/>
    </w:r>
  </w:p>
  <w:p w14:paraId="09AE7F86">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F4714">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2A62">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724E4">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A9123F">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sz w:val="24"/>
                              <w:szCs w:val="24"/>
                            </w:rPr>
                            <w:fldChar w:fldCharType="begin"/>
                          </w:r>
                          <w:r>
                            <w:rPr>
                              <w:rStyle w:val="34"/>
                              <w:sz w:val="24"/>
                              <w:szCs w:val="24"/>
                            </w:rPr>
                            <w:instrText xml:space="preserve">PAGE  </w:instrText>
                          </w:r>
                          <w:r>
                            <w:rPr>
                              <w:sz w:val="24"/>
                              <w:szCs w:val="24"/>
                            </w:rPr>
                            <w:fldChar w:fldCharType="separate"/>
                          </w:r>
                          <w:r>
                            <w:rPr>
                              <w:rStyle w:val="34"/>
                              <w:sz w:val="24"/>
                              <w:szCs w:val="24"/>
                            </w:rPr>
                            <w:t>9</w:t>
                          </w:r>
                          <w:r>
                            <w:rPr>
                              <w:sz w:val="24"/>
                              <w:szCs w:val="24"/>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M8ksUBAACRAwAADgAAAGRycy9lMm9Eb2MueG1srVPNjtMwEL4j8Q6W&#10;79TZCqFu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EtbsI1JY5bnPj5x/fzz9/nX9/I&#10;snp9nSXqA9SYeR8wNw1v/YDpsx/QmZkPKtr8RU4E4yjw6SKwHBIR+dFquVpVGBIYmy+Izx6ehwjp&#10;nfSWZKOhESdYhOXHD5DG1DklV3P+ThtTpmjcPw7EzB6Wex97zFYadsNEaOfbE/LpcfgNdbjrlJj3&#10;DrXNezIbcTZ2k5FrQLg9JCxc+smoI9RUDCdVGE1blVfh73vJeviTN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G4TPJLFAQAAkQMAAA4AAAAAAAAAAQAgAAAAHgEAAGRycy9lMm9Eb2MueG1s&#10;UEsFBgAAAAAGAAYAWQEAAFUFAAAAAA==&#10;">
              <v:fill on="f" focussize="0,0"/>
              <v:stroke on="f"/>
              <v:imagedata o:title=""/>
              <o:lock v:ext="edit" aspectratio="f"/>
              <v:textbox inset="0mm,0mm,0mm,0mm" style="mso-fit-shape-to-text:t;">
                <w:txbxContent>
                  <w:p w14:paraId="13A9123F">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sz w:val="24"/>
                        <w:szCs w:val="24"/>
                      </w:rPr>
                      <w:fldChar w:fldCharType="begin"/>
                    </w:r>
                    <w:r>
                      <w:rPr>
                        <w:rStyle w:val="34"/>
                        <w:sz w:val="24"/>
                        <w:szCs w:val="24"/>
                      </w:rPr>
                      <w:instrText xml:space="preserve">PAGE  </w:instrText>
                    </w:r>
                    <w:r>
                      <w:rPr>
                        <w:sz w:val="24"/>
                        <w:szCs w:val="24"/>
                      </w:rPr>
                      <w:fldChar w:fldCharType="separate"/>
                    </w:r>
                    <w:r>
                      <w:rPr>
                        <w:rStyle w:val="34"/>
                        <w:sz w:val="24"/>
                        <w:szCs w:val="24"/>
                      </w:rPr>
                      <w:t>9</w:t>
                    </w:r>
                    <w:r>
                      <w:rPr>
                        <w:sz w:val="24"/>
                        <w:szCs w:val="24"/>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1831B">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ACCEEB">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LYA08cQBAACQAwAADgAAAAAAAAABACAAAAAeAQAAZHJzL2Uyb0RvYy54bWxQ&#10;SwUGAAAAAAYABgBZAQAAVAUAAAAA&#10;">
              <v:fill on="f" focussize="0,0"/>
              <v:stroke on="f"/>
              <v:imagedata o:title=""/>
              <o:lock v:ext="edit" aspectratio="f"/>
              <v:textbox inset="0mm,0mm,0mm,0mm" style="mso-fit-shape-to-text:t;">
                <w:txbxContent>
                  <w:p w14:paraId="72ACCEEB">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7B2A5">
    <w:pPr>
      <w:pStyle w:val="1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35320">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0D255">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EE09E"/>
    <w:multiLevelType w:val="singleLevel"/>
    <w:tmpl w:val="856EE09E"/>
    <w:lvl w:ilvl="0" w:tentative="0">
      <w:start w:val="1"/>
      <w:numFmt w:val="bullet"/>
      <w:pStyle w:val="14"/>
      <w:lvlText w:val=""/>
      <w:lvlJc w:val="left"/>
      <w:pPr>
        <w:tabs>
          <w:tab w:val="left" w:pos="3599"/>
        </w:tabs>
        <w:ind w:left="3599" w:hanging="360"/>
      </w:pPr>
      <w:rPr>
        <w:rFonts w:hint="default" w:ascii="Wingdings" w:hAnsi="Wingdings"/>
      </w:rPr>
    </w:lvl>
  </w:abstractNum>
  <w:abstractNum w:abstractNumId="1">
    <w:nsid w:val="0F6E6223"/>
    <w:multiLevelType w:val="singleLevel"/>
    <w:tmpl w:val="0F6E6223"/>
    <w:lvl w:ilvl="0" w:tentative="0">
      <w:start w:val="1"/>
      <w:numFmt w:val="decimal"/>
      <w:pStyle w:val="102"/>
      <w:suff w:val="nothing"/>
      <w:lvlText w:val="%1、"/>
      <w:lvlJc w:val="left"/>
    </w:lvl>
  </w:abstractNum>
  <w:abstractNum w:abstractNumId="2">
    <w:nsid w:val="147992D4"/>
    <w:multiLevelType w:val="singleLevel"/>
    <w:tmpl w:val="147992D4"/>
    <w:lvl w:ilvl="0" w:tentative="0">
      <w:start w:val="1"/>
      <w:numFmt w:val="lowerLetter"/>
      <w:suff w:val="nothing"/>
      <w:lvlText w:val="%1）"/>
      <w:lvlJc w:val="left"/>
    </w:lvl>
  </w:abstractNum>
  <w:abstractNum w:abstractNumId="3">
    <w:nsid w:val="6A8D7D80"/>
    <w:multiLevelType w:val="singleLevel"/>
    <w:tmpl w:val="6A8D7D80"/>
    <w:lvl w:ilvl="0" w:tentative="0">
      <w:start w:val="4"/>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jNzkwODFjNjkxYTQxNTBjMjU4ZTNmNzZmNjUzMDUifQ=="/>
  </w:docVars>
  <w:rsids>
    <w:rsidRoot w:val="00172A27"/>
    <w:rsid w:val="000060B3"/>
    <w:rsid w:val="0001659E"/>
    <w:rsid w:val="00025BA0"/>
    <w:rsid w:val="00040F58"/>
    <w:rsid w:val="0004364B"/>
    <w:rsid w:val="00054577"/>
    <w:rsid w:val="00061B1F"/>
    <w:rsid w:val="000733C4"/>
    <w:rsid w:val="00074783"/>
    <w:rsid w:val="0008070B"/>
    <w:rsid w:val="000810AC"/>
    <w:rsid w:val="00081A02"/>
    <w:rsid w:val="00082231"/>
    <w:rsid w:val="00092781"/>
    <w:rsid w:val="00092D38"/>
    <w:rsid w:val="0009377B"/>
    <w:rsid w:val="000A20C9"/>
    <w:rsid w:val="000B058F"/>
    <w:rsid w:val="000B4467"/>
    <w:rsid w:val="000B4DB9"/>
    <w:rsid w:val="000B606A"/>
    <w:rsid w:val="000C09AC"/>
    <w:rsid w:val="000C4695"/>
    <w:rsid w:val="000C767F"/>
    <w:rsid w:val="000D5A44"/>
    <w:rsid w:val="000E3AF0"/>
    <w:rsid w:val="000E3ED2"/>
    <w:rsid w:val="000E4B68"/>
    <w:rsid w:val="00105E17"/>
    <w:rsid w:val="00131F42"/>
    <w:rsid w:val="001357F1"/>
    <w:rsid w:val="00140FA8"/>
    <w:rsid w:val="00142FEB"/>
    <w:rsid w:val="00143A2D"/>
    <w:rsid w:val="00145A41"/>
    <w:rsid w:val="00151675"/>
    <w:rsid w:val="00157435"/>
    <w:rsid w:val="00172A27"/>
    <w:rsid w:val="0017504D"/>
    <w:rsid w:val="0017671A"/>
    <w:rsid w:val="00177422"/>
    <w:rsid w:val="00184590"/>
    <w:rsid w:val="0018525C"/>
    <w:rsid w:val="001858F3"/>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2643"/>
    <w:rsid w:val="00224839"/>
    <w:rsid w:val="002249B2"/>
    <w:rsid w:val="00226574"/>
    <w:rsid w:val="002278EC"/>
    <w:rsid w:val="0023280E"/>
    <w:rsid w:val="002377D1"/>
    <w:rsid w:val="002506BC"/>
    <w:rsid w:val="00250AE7"/>
    <w:rsid w:val="00254345"/>
    <w:rsid w:val="00264557"/>
    <w:rsid w:val="00271C73"/>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2C7C"/>
    <w:rsid w:val="0034348F"/>
    <w:rsid w:val="00356653"/>
    <w:rsid w:val="0035743F"/>
    <w:rsid w:val="00357BE2"/>
    <w:rsid w:val="0036170C"/>
    <w:rsid w:val="00366E0F"/>
    <w:rsid w:val="00381A72"/>
    <w:rsid w:val="00384676"/>
    <w:rsid w:val="00390857"/>
    <w:rsid w:val="003A4BF3"/>
    <w:rsid w:val="003B052A"/>
    <w:rsid w:val="003B420D"/>
    <w:rsid w:val="003C6C16"/>
    <w:rsid w:val="003D106A"/>
    <w:rsid w:val="003D794D"/>
    <w:rsid w:val="003E3058"/>
    <w:rsid w:val="003E76A9"/>
    <w:rsid w:val="003F0809"/>
    <w:rsid w:val="003F3A34"/>
    <w:rsid w:val="003F6A8C"/>
    <w:rsid w:val="003F755C"/>
    <w:rsid w:val="00406F01"/>
    <w:rsid w:val="00416D50"/>
    <w:rsid w:val="00416FD5"/>
    <w:rsid w:val="00417772"/>
    <w:rsid w:val="00420E6A"/>
    <w:rsid w:val="00425A9E"/>
    <w:rsid w:val="00426D6B"/>
    <w:rsid w:val="00431E6C"/>
    <w:rsid w:val="00432B74"/>
    <w:rsid w:val="00433CE7"/>
    <w:rsid w:val="004517D5"/>
    <w:rsid w:val="00452738"/>
    <w:rsid w:val="004536D5"/>
    <w:rsid w:val="00456091"/>
    <w:rsid w:val="00466321"/>
    <w:rsid w:val="00484B9B"/>
    <w:rsid w:val="004855F6"/>
    <w:rsid w:val="0048661E"/>
    <w:rsid w:val="00494670"/>
    <w:rsid w:val="004A3823"/>
    <w:rsid w:val="004C54E4"/>
    <w:rsid w:val="004E6946"/>
    <w:rsid w:val="004F1AD8"/>
    <w:rsid w:val="005039CB"/>
    <w:rsid w:val="0050558F"/>
    <w:rsid w:val="00506286"/>
    <w:rsid w:val="00510813"/>
    <w:rsid w:val="00511990"/>
    <w:rsid w:val="00511DE0"/>
    <w:rsid w:val="00514870"/>
    <w:rsid w:val="00514B9B"/>
    <w:rsid w:val="005157E3"/>
    <w:rsid w:val="00517F02"/>
    <w:rsid w:val="00524303"/>
    <w:rsid w:val="005258A2"/>
    <w:rsid w:val="00534A1C"/>
    <w:rsid w:val="005401AE"/>
    <w:rsid w:val="00540A40"/>
    <w:rsid w:val="00542E07"/>
    <w:rsid w:val="00545424"/>
    <w:rsid w:val="00554A7B"/>
    <w:rsid w:val="0055572C"/>
    <w:rsid w:val="0056106A"/>
    <w:rsid w:val="00563A5B"/>
    <w:rsid w:val="005720AE"/>
    <w:rsid w:val="00594D77"/>
    <w:rsid w:val="005969E4"/>
    <w:rsid w:val="005A06B7"/>
    <w:rsid w:val="005A1759"/>
    <w:rsid w:val="005A68A7"/>
    <w:rsid w:val="005D36AB"/>
    <w:rsid w:val="005D468E"/>
    <w:rsid w:val="005F7B28"/>
    <w:rsid w:val="006161E4"/>
    <w:rsid w:val="00617CC3"/>
    <w:rsid w:val="006377A6"/>
    <w:rsid w:val="00637A3D"/>
    <w:rsid w:val="006411EF"/>
    <w:rsid w:val="006546A6"/>
    <w:rsid w:val="006748B8"/>
    <w:rsid w:val="006775C3"/>
    <w:rsid w:val="006928EC"/>
    <w:rsid w:val="0069290A"/>
    <w:rsid w:val="0069775A"/>
    <w:rsid w:val="00697813"/>
    <w:rsid w:val="006A3EE8"/>
    <w:rsid w:val="006A578F"/>
    <w:rsid w:val="006A72BF"/>
    <w:rsid w:val="006B03F2"/>
    <w:rsid w:val="006B37DC"/>
    <w:rsid w:val="006B4F68"/>
    <w:rsid w:val="006C0592"/>
    <w:rsid w:val="006C16BD"/>
    <w:rsid w:val="006C272E"/>
    <w:rsid w:val="006C5479"/>
    <w:rsid w:val="006C612A"/>
    <w:rsid w:val="006D13B5"/>
    <w:rsid w:val="006E12FF"/>
    <w:rsid w:val="006E607E"/>
    <w:rsid w:val="00706C5D"/>
    <w:rsid w:val="00732922"/>
    <w:rsid w:val="0075162E"/>
    <w:rsid w:val="00751FA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15BE"/>
    <w:rsid w:val="007E4BD2"/>
    <w:rsid w:val="007F156B"/>
    <w:rsid w:val="007F1D2A"/>
    <w:rsid w:val="00801393"/>
    <w:rsid w:val="00802F88"/>
    <w:rsid w:val="008079C9"/>
    <w:rsid w:val="0081293E"/>
    <w:rsid w:val="00815465"/>
    <w:rsid w:val="00817E9A"/>
    <w:rsid w:val="008306BD"/>
    <w:rsid w:val="00831A80"/>
    <w:rsid w:val="008322B6"/>
    <w:rsid w:val="00833743"/>
    <w:rsid w:val="008340A4"/>
    <w:rsid w:val="00865B7C"/>
    <w:rsid w:val="008707E6"/>
    <w:rsid w:val="0087135F"/>
    <w:rsid w:val="00872D94"/>
    <w:rsid w:val="00880364"/>
    <w:rsid w:val="00885BD4"/>
    <w:rsid w:val="00891592"/>
    <w:rsid w:val="00891E9E"/>
    <w:rsid w:val="008A2F68"/>
    <w:rsid w:val="008B138B"/>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C66"/>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501F"/>
    <w:rsid w:val="009B0897"/>
    <w:rsid w:val="009B7BD9"/>
    <w:rsid w:val="009C7DD5"/>
    <w:rsid w:val="009D60DA"/>
    <w:rsid w:val="009E227D"/>
    <w:rsid w:val="009E5019"/>
    <w:rsid w:val="00A04F1B"/>
    <w:rsid w:val="00A0501B"/>
    <w:rsid w:val="00A14947"/>
    <w:rsid w:val="00A32A83"/>
    <w:rsid w:val="00A368DB"/>
    <w:rsid w:val="00A423AA"/>
    <w:rsid w:val="00A52A3D"/>
    <w:rsid w:val="00A53EC6"/>
    <w:rsid w:val="00A55C0F"/>
    <w:rsid w:val="00A8713F"/>
    <w:rsid w:val="00A90BA1"/>
    <w:rsid w:val="00A9412D"/>
    <w:rsid w:val="00A956A9"/>
    <w:rsid w:val="00A97A9A"/>
    <w:rsid w:val="00AA0671"/>
    <w:rsid w:val="00AA2531"/>
    <w:rsid w:val="00AB1E09"/>
    <w:rsid w:val="00AB4F13"/>
    <w:rsid w:val="00AB5330"/>
    <w:rsid w:val="00AB7747"/>
    <w:rsid w:val="00AC00DB"/>
    <w:rsid w:val="00AC14CE"/>
    <w:rsid w:val="00AC2A56"/>
    <w:rsid w:val="00AD055E"/>
    <w:rsid w:val="00AD47A7"/>
    <w:rsid w:val="00AE5B82"/>
    <w:rsid w:val="00AF0CBF"/>
    <w:rsid w:val="00AF257F"/>
    <w:rsid w:val="00AF33CF"/>
    <w:rsid w:val="00AF463C"/>
    <w:rsid w:val="00AF4D50"/>
    <w:rsid w:val="00AF58BC"/>
    <w:rsid w:val="00AF6179"/>
    <w:rsid w:val="00B1295A"/>
    <w:rsid w:val="00B20A45"/>
    <w:rsid w:val="00B20DCC"/>
    <w:rsid w:val="00B22C5C"/>
    <w:rsid w:val="00B24F30"/>
    <w:rsid w:val="00B2731A"/>
    <w:rsid w:val="00B31ABF"/>
    <w:rsid w:val="00B33BE3"/>
    <w:rsid w:val="00B44A30"/>
    <w:rsid w:val="00B475BD"/>
    <w:rsid w:val="00B534F8"/>
    <w:rsid w:val="00B53B5D"/>
    <w:rsid w:val="00B601F8"/>
    <w:rsid w:val="00B6055E"/>
    <w:rsid w:val="00B6317D"/>
    <w:rsid w:val="00B7723F"/>
    <w:rsid w:val="00B80534"/>
    <w:rsid w:val="00B8433C"/>
    <w:rsid w:val="00B87491"/>
    <w:rsid w:val="00BA29E9"/>
    <w:rsid w:val="00BA5FE4"/>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625B"/>
    <w:rsid w:val="00CA7EF8"/>
    <w:rsid w:val="00CC489B"/>
    <w:rsid w:val="00CD2BCD"/>
    <w:rsid w:val="00CD3A4C"/>
    <w:rsid w:val="00CD48C2"/>
    <w:rsid w:val="00CE10E9"/>
    <w:rsid w:val="00CE2910"/>
    <w:rsid w:val="00CE5393"/>
    <w:rsid w:val="00CF36BE"/>
    <w:rsid w:val="00CF6000"/>
    <w:rsid w:val="00D003F3"/>
    <w:rsid w:val="00D0364F"/>
    <w:rsid w:val="00D0575C"/>
    <w:rsid w:val="00D06834"/>
    <w:rsid w:val="00D308ED"/>
    <w:rsid w:val="00D36D86"/>
    <w:rsid w:val="00D428AA"/>
    <w:rsid w:val="00D46041"/>
    <w:rsid w:val="00D50A34"/>
    <w:rsid w:val="00D53EFA"/>
    <w:rsid w:val="00D94A7C"/>
    <w:rsid w:val="00D95896"/>
    <w:rsid w:val="00DB2983"/>
    <w:rsid w:val="00DC1257"/>
    <w:rsid w:val="00DC3DC0"/>
    <w:rsid w:val="00DC5B2B"/>
    <w:rsid w:val="00DD318D"/>
    <w:rsid w:val="00DF0A44"/>
    <w:rsid w:val="00DF0E90"/>
    <w:rsid w:val="00DF2E12"/>
    <w:rsid w:val="00DF514A"/>
    <w:rsid w:val="00DF6690"/>
    <w:rsid w:val="00DF6804"/>
    <w:rsid w:val="00E0358D"/>
    <w:rsid w:val="00E04323"/>
    <w:rsid w:val="00E06163"/>
    <w:rsid w:val="00E070A2"/>
    <w:rsid w:val="00E2656A"/>
    <w:rsid w:val="00E37CB5"/>
    <w:rsid w:val="00E412D0"/>
    <w:rsid w:val="00E56322"/>
    <w:rsid w:val="00E60982"/>
    <w:rsid w:val="00E62C62"/>
    <w:rsid w:val="00E654C1"/>
    <w:rsid w:val="00E65D97"/>
    <w:rsid w:val="00E72A5A"/>
    <w:rsid w:val="00E73354"/>
    <w:rsid w:val="00E91320"/>
    <w:rsid w:val="00E9242D"/>
    <w:rsid w:val="00EB5255"/>
    <w:rsid w:val="00EB5C47"/>
    <w:rsid w:val="00EC2FEC"/>
    <w:rsid w:val="00EC335D"/>
    <w:rsid w:val="00EC4952"/>
    <w:rsid w:val="00ED0639"/>
    <w:rsid w:val="00EE2049"/>
    <w:rsid w:val="00EE5FEC"/>
    <w:rsid w:val="00EF02A6"/>
    <w:rsid w:val="00EF4755"/>
    <w:rsid w:val="00EF7135"/>
    <w:rsid w:val="00F01592"/>
    <w:rsid w:val="00F027DB"/>
    <w:rsid w:val="00F14A7A"/>
    <w:rsid w:val="00F22985"/>
    <w:rsid w:val="00F3383E"/>
    <w:rsid w:val="00F41219"/>
    <w:rsid w:val="00F465A7"/>
    <w:rsid w:val="00F50B7C"/>
    <w:rsid w:val="00F550E6"/>
    <w:rsid w:val="00F64A24"/>
    <w:rsid w:val="00F74345"/>
    <w:rsid w:val="00F80A0A"/>
    <w:rsid w:val="00F82B19"/>
    <w:rsid w:val="00F9212D"/>
    <w:rsid w:val="00F965DA"/>
    <w:rsid w:val="00FA406A"/>
    <w:rsid w:val="00FB503A"/>
    <w:rsid w:val="00FB516C"/>
    <w:rsid w:val="00FD0236"/>
    <w:rsid w:val="00FD18F4"/>
    <w:rsid w:val="00FD39C0"/>
    <w:rsid w:val="00FD54DB"/>
    <w:rsid w:val="00FD619F"/>
    <w:rsid w:val="00FE0569"/>
    <w:rsid w:val="010E1963"/>
    <w:rsid w:val="01290F7E"/>
    <w:rsid w:val="014A404E"/>
    <w:rsid w:val="015D1E09"/>
    <w:rsid w:val="017D1932"/>
    <w:rsid w:val="018E600F"/>
    <w:rsid w:val="01A72876"/>
    <w:rsid w:val="01AA1AC9"/>
    <w:rsid w:val="020F4FDF"/>
    <w:rsid w:val="02166C68"/>
    <w:rsid w:val="024015C4"/>
    <w:rsid w:val="02507587"/>
    <w:rsid w:val="02697903"/>
    <w:rsid w:val="027E1B78"/>
    <w:rsid w:val="02AF0631"/>
    <w:rsid w:val="02B363B8"/>
    <w:rsid w:val="02B67E74"/>
    <w:rsid w:val="02C46FF7"/>
    <w:rsid w:val="02C57DA2"/>
    <w:rsid w:val="02F96569"/>
    <w:rsid w:val="030C6222"/>
    <w:rsid w:val="031817F8"/>
    <w:rsid w:val="031971CC"/>
    <w:rsid w:val="03203768"/>
    <w:rsid w:val="03217FE6"/>
    <w:rsid w:val="033221E4"/>
    <w:rsid w:val="03327FC8"/>
    <w:rsid w:val="03544849"/>
    <w:rsid w:val="03854DD8"/>
    <w:rsid w:val="03912AC4"/>
    <w:rsid w:val="03946735"/>
    <w:rsid w:val="03962483"/>
    <w:rsid w:val="03AE31F2"/>
    <w:rsid w:val="03EA7B21"/>
    <w:rsid w:val="03EC373E"/>
    <w:rsid w:val="03F45670"/>
    <w:rsid w:val="041009A9"/>
    <w:rsid w:val="04401C79"/>
    <w:rsid w:val="047A5872"/>
    <w:rsid w:val="048232F8"/>
    <w:rsid w:val="04900CD4"/>
    <w:rsid w:val="04EE753B"/>
    <w:rsid w:val="052852BB"/>
    <w:rsid w:val="05400C56"/>
    <w:rsid w:val="057401F3"/>
    <w:rsid w:val="05764B78"/>
    <w:rsid w:val="05DD798A"/>
    <w:rsid w:val="05F83EAE"/>
    <w:rsid w:val="05FC2C5F"/>
    <w:rsid w:val="060B3975"/>
    <w:rsid w:val="06184CCA"/>
    <w:rsid w:val="06386822"/>
    <w:rsid w:val="063E7D85"/>
    <w:rsid w:val="06516945"/>
    <w:rsid w:val="06607929"/>
    <w:rsid w:val="06676F50"/>
    <w:rsid w:val="0677506D"/>
    <w:rsid w:val="067D5E9A"/>
    <w:rsid w:val="06812BB0"/>
    <w:rsid w:val="068911C7"/>
    <w:rsid w:val="069A66BE"/>
    <w:rsid w:val="06A45106"/>
    <w:rsid w:val="06BF07ED"/>
    <w:rsid w:val="06D10CDA"/>
    <w:rsid w:val="06E076D6"/>
    <w:rsid w:val="06E64321"/>
    <w:rsid w:val="07063D16"/>
    <w:rsid w:val="07293586"/>
    <w:rsid w:val="07295285"/>
    <w:rsid w:val="074C2F50"/>
    <w:rsid w:val="075C7A36"/>
    <w:rsid w:val="075E78A1"/>
    <w:rsid w:val="07636392"/>
    <w:rsid w:val="07770C56"/>
    <w:rsid w:val="07805ACF"/>
    <w:rsid w:val="078209B2"/>
    <w:rsid w:val="0867003D"/>
    <w:rsid w:val="08692F29"/>
    <w:rsid w:val="08764D63"/>
    <w:rsid w:val="08AB0A72"/>
    <w:rsid w:val="08EF63E2"/>
    <w:rsid w:val="08FB5BF1"/>
    <w:rsid w:val="09012917"/>
    <w:rsid w:val="092217DD"/>
    <w:rsid w:val="093A7294"/>
    <w:rsid w:val="094626B0"/>
    <w:rsid w:val="0954641D"/>
    <w:rsid w:val="09653F58"/>
    <w:rsid w:val="09951F61"/>
    <w:rsid w:val="09B2652E"/>
    <w:rsid w:val="09DD424C"/>
    <w:rsid w:val="09F90D9E"/>
    <w:rsid w:val="0A1D32B8"/>
    <w:rsid w:val="0A1E12A6"/>
    <w:rsid w:val="0A263993"/>
    <w:rsid w:val="0A2D3AC2"/>
    <w:rsid w:val="0A430D0D"/>
    <w:rsid w:val="0A486323"/>
    <w:rsid w:val="0A4B2176"/>
    <w:rsid w:val="0A6C2F90"/>
    <w:rsid w:val="0A8B600D"/>
    <w:rsid w:val="0AA755DF"/>
    <w:rsid w:val="0AAF6901"/>
    <w:rsid w:val="0AF344E1"/>
    <w:rsid w:val="0B083263"/>
    <w:rsid w:val="0B120D44"/>
    <w:rsid w:val="0B1D28B6"/>
    <w:rsid w:val="0B212597"/>
    <w:rsid w:val="0B272779"/>
    <w:rsid w:val="0B5A459F"/>
    <w:rsid w:val="0B986D35"/>
    <w:rsid w:val="0BA75FCE"/>
    <w:rsid w:val="0BAB1E55"/>
    <w:rsid w:val="0BB26039"/>
    <w:rsid w:val="0BD27BF6"/>
    <w:rsid w:val="0BD7110E"/>
    <w:rsid w:val="0BEE5E00"/>
    <w:rsid w:val="0C2D3D77"/>
    <w:rsid w:val="0C3A40F8"/>
    <w:rsid w:val="0C3B3C7D"/>
    <w:rsid w:val="0C5E1153"/>
    <w:rsid w:val="0C60647A"/>
    <w:rsid w:val="0C6F29F5"/>
    <w:rsid w:val="0C724C00"/>
    <w:rsid w:val="0CA846B7"/>
    <w:rsid w:val="0CAB2EAE"/>
    <w:rsid w:val="0CBF40B0"/>
    <w:rsid w:val="0CC372C0"/>
    <w:rsid w:val="0CD17129"/>
    <w:rsid w:val="0CE566A3"/>
    <w:rsid w:val="0CFA2E44"/>
    <w:rsid w:val="0D100CC2"/>
    <w:rsid w:val="0D2969F6"/>
    <w:rsid w:val="0D2F0A5A"/>
    <w:rsid w:val="0D621C7D"/>
    <w:rsid w:val="0D8A28A2"/>
    <w:rsid w:val="0D8A5243"/>
    <w:rsid w:val="0D8D2A80"/>
    <w:rsid w:val="0DA2580C"/>
    <w:rsid w:val="0DF944DE"/>
    <w:rsid w:val="0E1847D4"/>
    <w:rsid w:val="0E2207DC"/>
    <w:rsid w:val="0E22421D"/>
    <w:rsid w:val="0E2A4C95"/>
    <w:rsid w:val="0E6804C6"/>
    <w:rsid w:val="0E73034D"/>
    <w:rsid w:val="0E790969"/>
    <w:rsid w:val="0EC27F83"/>
    <w:rsid w:val="0F13775A"/>
    <w:rsid w:val="0F312ACB"/>
    <w:rsid w:val="0F516044"/>
    <w:rsid w:val="0F52564C"/>
    <w:rsid w:val="0F5804BF"/>
    <w:rsid w:val="0F5A1DAB"/>
    <w:rsid w:val="0F5F45FE"/>
    <w:rsid w:val="0F676BD9"/>
    <w:rsid w:val="0F722AD6"/>
    <w:rsid w:val="0F765431"/>
    <w:rsid w:val="0F8E1781"/>
    <w:rsid w:val="0F9A112B"/>
    <w:rsid w:val="0F9F4616"/>
    <w:rsid w:val="0F9F61A9"/>
    <w:rsid w:val="0FAC1125"/>
    <w:rsid w:val="0FBC3DFB"/>
    <w:rsid w:val="0FE43413"/>
    <w:rsid w:val="0FEB1719"/>
    <w:rsid w:val="100C06C6"/>
    <w:rsid w:val="100E549C"/>
    <w:rsid w:val="10192E05"/>
    <w:rsid w:val="1028350D"/>
    <w:rsid w:val="10492D14"/>
    <w:rsid w:val="106406B6"/>
    <w:rsid w:val="106D2F64"/>
    <w:rsid w:val="107B2AE7"/>
    <w:rsid w:val="109A6618"/>
    <w:rsid w:val="10A15E89"/>
    <w:rsid w:val="10A75289"/>
    <w:rsid w:val="10B63710"/>
    <w:rsid w:val="10B85BA3"/>
    <w:rsid w:val="10BA7CE3"/>
    <w:rsid w:val="10CF0710"/>
    <w:rsid w:val="10F10820"/>
    <w:rsid w:val="10F765F4"/>
    <w:rsid w:val="110C212C"/>
    <w:rsid w:val="111C2F7A"/>
    <w:rsid w:val="113C25D0"/>
    <w:rsid w:val="1147292F"/>
    <w:rsid w:val="114B0283"/>
    <w:rsid w:val="1158509E"/>
    <w:rsid w:val="116173ED"/>
    <w:rsid w:val="11665CA1"/>
    <w:rsid w:val="117B1D8E"/>
    <w:rsid w:val="11A37D62"/>
    <w:rsid w:val="11AC2A30"/>
    <w:rsid w:val="11B423A5"/>
    <w:rsid w:val="11B5112D"/>
    <w:rsid w:val="11C34DCF"/>
    <w:rsid w:val="11CA554D"/>
    <w:rsid w:val="11F33019"/>
    <w:rsid w:val="12037A6B"/>
    <w:rsid w:val="121F3E0E"/>
    <w:rsid w:val="12222E76"/>
    <w:rsid w:val="1234116B"/>
    <w:rsid w:val="123B54F1"/>
    <w:rsid w:val="125E7947"/>
    <w:rsid w:val="125F245C"/>
    <w:rsid w:val="12CE4E98"/>
    <w:rsid w:val="12DF387B"/>
    <w:rsid w:val="12E4729A"/>
    <w:rsid w:val="12F72695"/>
    <w:rsid w:val="13176E66"/>
    <w:rsid w:val="13196E42"/>
    <w:rsid w:val="131B412C"/>
    <w:rsid w:val="13280AA0"/>
    <w:rsid w:val="132936E6"/>
    <w:rsid w:val="132B30B1"/>
    <w:rsid w:val="13313532"/>
    <w:rsid w:val="136239E5"/>
    <w:rsid w:val="13785584"/>
    <w:rsid w:val="138D6EDC"/>
    <w:rsid w:val="13951726"/>
    <w:rsid w:val="13A27F68"/>
    <w:rsid w:val="13B04EA5"/>
    <w:rsid w:val="140914FE"/>
    <w:rsid w:val="14243ED0"/>
    <w:rsid w:val="14396509"/>
    <w:rsid w:val="14403A8A"/>
    <w:rsid w:val="146943F9"/>
    <w:rsid w:val="148B55CA"/>
    <w:rsid w:val="149A59CD"/>
    <w:rsid w:val="14B77A8F"/>
    <w:rsid w:val="14D366AA"/>
    <w:rsid w:val="14DD2C3C"/>
    <w:rsid w:val="151F3F9A"/>
    <w:rsid w:val="1556024B"/>
    <w:rsid w:val="159468C1"/>
    <w:rsid w:val="15974F09"/>
    <w:rsid w:val="15A37019"/>
    <w:rsid w:val="15A72AEA"/>
    <w:rsid w:val="15A82943"/>
    <w:rsid w:val="15C60113"/>
    <w:rsid w:val="15DE1FDB"/>
    <w:rsid w:val="16066023"/>
    <w:rsid w:val="16087E1D"/>
    <w:rsid w:val="16176AFB"/>
    <w:rsid w:val="161F6713"/>
    <w:rsid w:val="168B050F"/>
    <w:rsid w:val="169A20C7"/>
    <w:rsid w:val="16E60844"/>
    <w:rsid w:val="170532D4"/>
    <w:rsid w:val="1730292F"/>
    <w:rsid w:val="173036B8"/>
    <w:rsid w:val="17701D14"/>
    <w:rsid w:val="17735226"/>
    <w:rsid w:val="1791130A"/>
    <w:rsid w:val="17B54F42"/>
    <w:rsid w:val="17D920F9"/>
    <w:rsid w:val="17DB34D2"/>
    <w:rsid w:val="17E3764B"/>
    <w:rsid w:val="18001CDF"/>
    <w:rsid w:val="1813672B"/>
    <w:rsid w:val="184F2034"/>
    <w:rsid w:val="185C47C5"/>
    <w:rsid w:val="186B4B5C"/>
    <w:rsid w:val="187911D6"/>
    <w:rsid w:val="189019B2"/>
    <w:rsid w:val="189F624C"/>
    <w:rsid w:val="18B13F1A"/>
    <w:rsid w:val="18C364EB"/>
    <w:rsid w:val="18CB168E"/>
    <w:rsid w:val="191E365A"/>
    <w:rsid w:val="19500CCF"/>
    <w:rsid w:val="196408EE"/>
    <w:rsid w:val="1970498C"/>
    <w:rsid w:val="1997695E"/>
    <w:rsid w:val="19A17EAA"/>
    <w:rsid w:val="19C065D3"/>
    <w:rsid w:val="19CA0EB9"/>
    <w:rsid w:val="19F6112C"/>
    <w:rsid w:val="19FA03E6"/>
    <w:rsid w:val="19FE1DDD"/>
    <w:rsid w:val="1A0A09E9"/>
    <w:rsid w:val="1A1C66C0"/>
    <w:rsid w:val="1A1F2A34"/>
    <w:rsid w:val="1A2A75F3"/>
    <w:rsid w:val="1A42393B"/>
    <w:rsid w:val="1A6465BC"/>
    <w:rsid w:val="1AA41A11"/>
    <w:rsid w:val="1AAD45DE"/>
    <w:rsid w:val="1AD652D6"/>
    <w:rsid w:val="1AF97F8D"/>
    <w:rsid w:val="1B044196"/>
    <w:rsid w:val="1B046F80"/>
    <w:rsid w:val="1B201135"/>
    <w:rsid w:val="1B2E1A98"/>
    <w:rsid w:val="1B3267B5"/>
    <w:rsid w:val="1B40161D"/>
    <w:rsid w:val="1B441859"/>
    <w:rsid w:val="1B563950"/>
    <w:rsid w:val="1B6606B1"/>
    <w:rsid w:val="1B6A7098"/>
    <w:rsid w:val="1B771D6A"/>
    <w:rsid w:val="1BB075A2"/>
    <w:rsid w:val="1BE07CE2"/>
    <w:rsid w:val="1BF003C8"/>
    <w:rsid w:val="1BF04B77"/>
    <w:rsid w:val="1BF87C3C"/>
    <w:rsid w:val="1C22118A"/>
    <w:rsid w:val="1C3D26AD"/>
    <w:rsid w:val="1C412D52"/>
    <w:rsid w:val="1C54644E"/>
    <w:rsid w:val="1C562C6A"/>
    <w:rsid w:val="1C5724E3"/>
    <w:rsid w:val="1C5E7925"/>
    <w:rsid w:val="1C745722"/>
    <w:rsid w:val="1C8451A7"/>
    <w:rsid w:val="1CA078F9"/>
    <w:rsid w:val="1CB2035F"/>
    <w:rsid w:val="1CB24C7B"/>
    <w:rsid w:val="1CEA05C9"/>
    <w:rsid w:val="1CFD070F"/>
    <w:rsid w:val="1D4817C6"/>
    <w:rsid w:val="1D5628A6"/>
    <w:rsid w:val="1D5A499A"/>
    <w:rsid w:val="1D5A590E"/>
    <w:rsid w:val="1D5F6196"/>
    <w:rsid w:val="1D606094"/>
    <w:rsid w:val="1D6132A5"/>
    <w:rsid w:val="1D8E56D5"/>
    <w:rsid w:val="1DF50A0E"/>
    <w:rsid w:val="1DF8492D"/>
    <w:rsid w:val="1E0A4E70"/>
    <w:rsid w:val="1E2743E6"/>
    <w:rsid w:val="1E4A36CA"/>
    <w:rsid w:val="1E6F6AB7"/>
    <w:rsid w:val="1E74521F"/>
    <w:rsid w:val="1E7A43DA"/>
    <w:rsid w:val="1E9A4612"/>
    <w:rsid w:val="1E9C3FEC"/>
    <w:rsid w:val="1ECB4527"/>
    <w:rsid w:val="1EF34658"/>
    <w:rsid w:val="1EFE234F"/>
    <w:rsid w:val="1F27477F"/>
    <w:rsid w:val="1F2E5B99"/>
    <w:rsid w:val="1F305B0E"/>
    <w:rsid w:val="1F503858"/>
    <w:rsid w:val="1F664938"/>
    <w:rsid w:val="1F6C4F45"/>
    <w:rsid w:val="1F850852"/>
    <w:rsid w:val="1FDC2D09"/>
    <w:rsid w:val="1FE7539E"/>
    <w:rsid w:val="200D0E15"/>
    <w:rsid w:val="201A1163"/>
    <w:rsid w:val="202F0959"/>
    <w:rsid w:val="204F1CE1"/>
    <w:rsid w:val="205B16B9"/>
    <w:rsid w:val="205C3992"/>
    <w:rsid w:val="20671BE0"/>
    <w:rsid w:val="2078234A"/>
    <w:rsid w:val="20963CB8"/>
    <w:rsid w:val="20A81A1B"/>
    <w:rsid w:val="20AB42BD"/>
    <w:rsid w:val="20AE6EF1"/>
    <w:rsid w:val="20B02431"/>
    <w:rsid w:val="20B07FB6"/>
    <w:rsid w:val="20B646FB"/>
    <w:rsid w:val="20C20786"/>
    <w:rsid w:val="20C875EF"/>
    <w:rsid w:val="20F622B1"/>
    <w:rsid w:val="20FD356C"/>
    <w:rsid w:val="21290982"/>
    <w:rsid w:val="213B74B1"/>
    <w:rsid w:val="215A2310"/>
    <w:rsid w:val="217F76FC"/>
    <w:rsid w:val="21C612F9"/>
    <w:rsid w:val="21D17D3D"/>
    <w:rsid w:val="21DA5901"/>
    <w:rsid w:val="21DE318A"/>
    <w:rsid w:val="21E5531A"/>
    <w:rsid w:val="21EA40E4"/>
    <w:rsid w:val="21ED37C0"/>
    <w:rsid w:val="21EF5B80"/>
    <w:rsid w:val="221072CF"/>
    <w:rsid w:val="222D60D3"/>
    <w:rsid w:val="22306F19"/>
    <w:rsid w:val="223E6F92"/>
    <w:rsid w:val="22576990"/>
    <w:rsid w:val="227A4218"/>
    <w:rsid w:val="227A75F1"/>
    <w:rsid w:val="227C4277"/>
    <w:rsid w:val="228B541F"/>
    <w:rsid w:val="22A5514C"/>
    <w:rsid w:val="22A77CF9"/>
    <w:rsid w:val="22C860C7"/>
    <w:rsid w:val="22D01927"/>
    <w:rsid w:val="22F02751"/>
    <w:rsid w:val="22F47480"/>
    <w:rsid w:val="22F776BE"/>
    <w:rsid w:val="22FE34A7"/>
    <w:rsid w:val="23142ED6"/>
    <w:rsid w:val="23251A24"/>
    <w:rsid w:val="236F7528"/>
    <w:rsid w:val="23706E5E"/>
    <w:rsid w:val="23714F6E"/>
    <w:rsid w:val="238F3E46"/>
    <w:rsid w:val="239E1775"/>
    <w:rsid w:val="239E47C5"/>
    <w:rsid w:val="23B0490B"/>
    <w:rsid w:val="23C10881"/>
    <w:rsid w:val="23D15477"/>
    <w:rsid w:val="23D46C33"/>
    <w:rsid w:val="23DC69E2"/>
    <w:rsid w:val="23DE1C48"/>
    <w:rsid w:val="23DE750E"/>
    <w:rsid w:val="23E3357E"/>
    <w:rsid w:val="23F6456A"/>
    <w:rsid w:val="240210CD"/>
    <w:rsid w:val="241D3AE6"/>
    <w:rsid w:val="241F37F9"/>
    <w:rsid w:val="24913A3F"/>
    <w:rsid w:val="24A90782"/>
    <w:rsid w:val="24BF09F7"/>
    <w:rsid w:val="24FD761E"/>
    <w:rsid w:val="25044AAE"/>
    <w:rsid w:val="250D639F"/>
    <w:rsid w:val="25153487"/>
    <w:rsid w:val="252050A3"/>
    <w:rsid w:val="252D53FE"/>
    <w:rsid w:val="25464913"/>
    <w:rsid w:val="254F0D89"/>
    <w:rsid w:val="25571493"/>
    <w:rsid w:val="257A63F2"/>
    <w:rsid w:val="259C77F7"/>
    <w:rsid w:val="25A7110A"/>
    <w:rsid w:val="25AA653E"/>
    <w:rsid w:val="25C37012"/>
    <w:rsid w:val="25D440A3"/>
    <w:rsid w:val="25EC2D81"/>
    <w:rsid w:val="263E08AF"/>
    <w:rsid w:val="267041D8"/>
    <w:rsid w:val="26885773"/>
    <w:rsid w:val="26B23494"/>
    <w:rsid w:val="26BC3377"/>
    <w:rsid w:val="26EC3F8B"/>
    <w:rsid w:val="271A4FE1"/>
    <w:rsid w:val="273E283C"/>
    <w:rsid w:val="276E1947"/>
    <w:rsid w:val="277057A2"/>
    <w:rsid w:val="27731A53"/>
    <w:rsid w:val="2774694A"/>
    <w:rsid w:val="27781B9E"/>
    <w:rsid w:val="2790167F"/>
    <w:rsid w:val="27AD019B"/>
    <w:rsid w:val="27E04872"/>
    <w:rsid w:val="281C3B10"/>
    <w:rsid w:val="282D2989"/>
    <w:rsid w:val="28351CC9"/>
    <w:rsid w:val="28372B0A"/>
    <w:rsid w:val="286345FC"/>
    <w:rsid w:val="28690469"/>
    <w:rsid w:val="28993715"/>
    <w:rsid w:val="289A08A1"/>
    <w:rsid w:val="28A662DC"/>
    <w:rsid w:val="28B67C1E"/>
    <w:rsid w:val="28BE1833"/>
    <w:rsid w:val="28CB42A5"/>
    <w:rsid w:val="29141135"/>
    <w:rsid w:val="29206EB8"/>
    <w:rsid w:val="29595666"/>
    <w:rsid w:val="295D55CE"/>
    <w:rsid w:val="295E6B72"/>
    <w:rsid w:val="296D55FC"/>
    <w:rsid w:val="29852C6E"/>
    <w:rsid w:val="29874881"/>
    <w:rsid w:val="29C14B9A"/>
    <w:rsid w:val="29C43ACD"/>
    <w:rsid w:val="29D21766"/>
    <w:rsid w:val="29D937CB"/>
    <w:rsid w:val="29E325E0"/>
    <w:rsid w:val="2A2D6DD6"/>
    <w:rsid w:val="2A3F4BF5"/>
    <w:rsid w:val="2A452503"/>
    <w:rsid w:val="2A5509A9"/>
    <w:rsid w:val="2A793FB5"/>
    <w:rsid w:val="2AAE07C0"/>
    <w:rsid w:val="2ACD4471"/>
    <w:rsid w:val="2AE03E7F"/>
    <w:rsid w:val="2B175C79"/>
    <w:rsid w:val="2B57304E"/>
    <w:rsid w:val="2B5B3B3C"/>
    <w:rsid w:val="2B5E2AEB"/>
    <w:rsid w:val="2B5F2962"/>
    <w:rsid w:val="2B5F3707"/>
    <w:rsid w:val="2B6B13EB"/>
    <w:rsid w:val="2B796C81"/>
    <w:rsid w:val="2B906891"/>
    <w:rsid w:val="2BA936A8"/>
    <w:rsid w:val="2BBC1603"/>
    <w:rsid w:val="2BC617D1"/>
    <w:rsid w:val="2BF51A0F"/>
    <w:rsid w:val="2C0E487F"/>
    <w:rsid w:val="2C315A5A"/>
    <w:rsid w:val="2C324A12"/>
    <w:rsid w:val="2C4B09B3"/>
    <w:rsid w:val="2C4B1C25"/>
    <w:rsid w:val="2C5A5D16"/>
    <w:rsid w:val="2C746603"/>
    <w:rsid w:val="2CC83457"/>
    <w:rsid w:val="2CCB1D27"/>
    <w:rsid w:val="2CCC540A"/>
    <w:rsid w:val="2CCD650D"/>
    <w:rsid w:val="2CD35D2A"/>
    <w:rsid w:val="2CEE30D8"/>
    <w:rsid w:val="2CEF26CA"/>
    <w:rsid w:val="2CF55A3F"/>
    <w:rsid w:val="2CFF047F"/>
    <w:rsid w:val="2D0775FF"/>
    <w:rsid w:val="2D263359"/>
    <w:rsid w:val="2D634322"/>
    <w:rsid w:val="2D7149DA"/>
    <w:rsid w:val="2D9E56F5"/>
    <w:rsid w:val="2DEA4E78"/>
    <w:rsid w:val="2E2C0A2B"/>
    <w:rsid w:val="2E3427EF"/>
    <w:rsid w:val="2E385BE3"/>
    <w:rsid w:val="2E3A545F"/>
    <w:rsid w:val="2E630DDB"/>
    <w:rsid w:val="2E632E91"/>
    <w:rsid w:val="2E667F96"/>
    <w:rsid w:val="2E6D1C71"/>
    <w:rsid w:val="2E6D2450"/>
    <w:rsid w:val="2E8226AB"/>
    <w:rsid w:val="2E8C4074"/>
    <w:rsid w:val="2E8E7EF9"/>
    <w:rsid w:val="2E9A3098"/>
    <w:rsid w:val="2ECA5239"/>
    <w:rsid w:val="2EE42162"/>
    <w:rsid w:val="2EE55CCC"/>
    <w:rsid w:val="2EF134D7"/>
    <w:rsid w:val="2F081A5A"/>
    <w:rsid w:val="2F29546D"/>
    <w:rsid w:val="2F614D2F"/>
    <w:rsid w:val="2F6862D9"/>
    <w:rsid w:val="2F887A2A"/>
    <w:rsid w:val="2FB07FC2"/>
    <w:rsid w:val="2FBD4CB6"/>
    <w:rsid w:val="2FD065E6"/>
    <w:rsid w:val="2FD96870"/>
    <w:rsid w:val="2FDE6C5E"/>
    <w:rsid w:val="2FFE4D92"/>
    <w:rsid w:val="30265417"/>
    <w:rsid w:val="302D1F21"/>
    <w:rsid w:val="304D30A1"/>
    <w:rsid w:val="30580BC9"/>
    <w:rsid w:val="307F0807"/>
    <w:rsid w:val="308F30E5"/>
    <w:rsid w:val="309B7A78"/>
    <w:rsid w:val="30AE008B"/>
    <w:rsid w:val="30BD06F6"/>
    <w:rsid w:val="30F45767"/>
    <w:rsid w:val="311C17EC"/>
    <w:rsid w:val="311E2ED7"/>
    <w:rsid w:val="3126482A"/>
    <w:rsid w:val="31311420"/>
    <w:rsid w:val="31363118"/>
    <w:rsid w:val="31490108"/>
    <w:rsid w:val="315009C5"/>
    <w:rsid w:val="315619EE"/>
    <w:rsid w:val="315C449C"/>
    <w:rsid w:val="31B82709"/>
    <w:rsid w:val="31D05482"/>
    <w:rsid w:val="31F5604E"/>
    <w:rsid w:val="31F57251"/>
    <w:rsid w:val="32400B34"/>
    <w:rsid w:val="325211EF"/>
    <w:rsid w:val="32545820"/>
    <w:rsid w:val="32603B74"/>
    <w:rsid w:val="32617AE9"/>
    <w:rsid w:val="3264344B"/>
    <w:rsid w:val="32870D12"/>
    <w:rsid w:val="32891C0D"/>
    <w:rsid w:val="329E6876"/>
    <w:rsid w:val="32A07429"/>
    <w:rsid w:val="32CE130F"/>
    <w:rsid w:val="32E50FD1"/>
    <w:rsid w:val="33143FE4"/>
    <w:rsid w:val="331B2B49"/>
    <w:rsid w:val="332C2A35"/>
    <w:rsid w:val="333015F2"/>
    <w:rsid w:val="334B6320"/>
    <w:rsid w:val="336C3601"/>
    <w:rsid w:val="337B43BB"/>
    <w:rsid w:val="33BF444B"/>
    <w:rsid w:val="33CE530D"/>
    <w:rsid w:val="33D934D4"/>
    <w:rsid w:val="33FB6E55"/>
    <w:rsid w:val="33FE2F6A"/>
    <w:rsid w:val="340E07E5"/>
    <w:rsid w:val="34235BF7"/>
    <w:rsid w:val="3430173F"/>
    <w:rsid w:val="346816F1"/>
    <w:rsid w:val="346C5DA1"/>
    <w:rsid w:val="346D5B4F"/>
    <w:rsid w:val="347E4979"/>
    <w:rsid w:val="34A52358"/>
    <w:rsid w:val="34A6537D"/>
    <w:rsid w:val="34AF3604"/>
    <w:rsid w:val="34EB2C1F"/>
    <w:rsid w:val="34F20296"/>
    <w:rsid w:val="34F2706F"/>
    <w:rsid w:val="35020CF9"/>
    <w:rsid w:val="350B570C"/>
    <w:rsid w:val="3512166C"/>
    <w:rsid w:val="35695BF8"/>
    <w:rsid w:val="35702425"/>
    <w:rsid w:val="358C5FA8"/>
    <w:rsid w:val="359B3CE5"/>
    <w:rsid w:val="35C15DF1"/>
    <w:rsid w:val="35C53880"/>
    <w:rsid w:val="35C94F73"/>
    <w:rsid w:val="35D76CB5"/>
    <w:rsid w:val="35D777A3"/>
    <w:rsid w:val="36074A7F"/>
    <w:rsid w:val="36121CD6"/>
    <w:rsid w:val="36366749"/>
    <w:rsid w:val="36392EB5"/>
    <w:rsid w:val="364E7E95"/>
    <w:rsid w:val="367F0AAE"/>
    <w:rsid w:val="36923549"/>
    <w:rsid w:val="36B75FBF"/>
    <w:rsid w:val="36BD0C45"/>
    <w:rsid w:val="36C851B0"/>
    <w:rsid w:val="36C95F72"/>
    <w:rsid w:val="36CF21F0"/>
    <w:rsid w:val="36D50C30"/>
    <w:rsid w:val="36D76591"/>
    <w:rsid w:val="36E063EA"/>
    <w:rsid w:val="36EA6C6A"/>
    <w:rsid w:val="36EF34FF"/>
    <w:rsid w:val="36FC2413"/>
    <w:rsid w:val="37070FBB"/>
    <w:rsid w:val="372945D6"/>
    <w:rsid w:val="37462384"/>
    <w:rsid w:val="374927F0"/>
    <w:rsid w:val="377A4739"/>
    <w:rsid w:val="37AD399A"/>
    <w:rsid w:val="37B35940"/>
    <w:rsid w:val="37E00298"/>
    <w:rsid w:val="381416C2"/>
    <w:rsid w:val="382C3705"/>
    <w:rsid w:val="38607313"/>
    <w:rsid w:val="38756B96"/>
    <w:rsid w:val="38975FD3"/>
    <w:rsid w:val="38A0247C"/>
    <w:rsid w:val="38B302F9"/>
    <w:rsid w:val="38C83F18"/>
    <w:rsid w:val="38EC5F48"/>
    <w:rsid w:val="38F12CD3"/>
    <w:rsid w:val="38F94775"/>
    <w:rsid w:val="392971ED"/>
    <w:rsid w:val="392F016F"/>
    <w:rsid w:val="39325651"/>
    <w:rsid w:val="39416EDE"/>
    <w:rsid w:val="3942025E"/>
    <w:rsid w:val="39666B6D"/>
    <w:rsid w:val="399A6151"/>
    <w:rsid w:val="39A34924"/>
    <w:rsid w:val="39C32E27"/>
    <w:rsid w:val="39D42885"/>
    <w:rsid w:val="39EE59C1"/>
    <w:rsid w:val="39FD0B20"/>
    <w:rsid w:val="3A00289B"/>
    <w:rsid w:val="3A1B6210"/>
    <w:rsid w:val="3A1E0635"/>
    <w:rsid w:val="3A2A1CCD"/>
    <w:rsid w:val="3A464357"/>
    <w:rsid w:val="3A63479C"/>
    <w:rsid w:val="3A872856"/>
    <w:rsid w:val="3A8B6C14"/>
    <w:rsid w:val="3A924E5F"/>
    <w:rsid w:val="3A9F2B97"/>
    <w:rsid w:val="3ABF7DD1"/>
    <w:rsid w:val="3ACD4770"/>
    <w:rsid w:val="3AD4324E"/>
    <w:rsid w:val="3AE710BD"/>
    <w:rsid w:val="3B150277"/>
    <w:rsid w:val="3B3763D1"/>
    <w:rsid w:val="3B4F7722"/>
    <w:rsid w:val="3B662B12"/>
    <w:rsid w:val="3B876A13"/>
    <w:rsid w:val="3BC668DD"/>
    <w:rsid w:val="3BDC647B"/>
    <w:rsid w:val="3BF369D7"/>
    <w:rsid w:val="3C0B3952"/>
    <w:rsid w:val="3C0B5299"/>
    <w:rsid w:val="3C2F6E1E"/>
    <w:rsid w:val="3C36732B"/>
    <w:rsid w:val="3C4F64BA"/>
    <w:rsid w:val="3C522012"/>
    <w:rsid w:val="3C600FF7"/>
    <w:rsid w:val="3C720ACE"/>
    <w:rsid w:val="3C911E47"/>
    <w:rsid w:val="3CBD0173"/>
    <w:rsid w:val="3CCA1DB1"/>
    <w:rsid w:val="3CD129FD"/>
    <w:rsid w:val="3CD53B1E"/>
    <w:rsid w:val="3CD67B88"/>
    <w:rsid w:val="3CD90D52"/>
    <w:rsid w:val="3CDA245A"/>
    <w:rsid w:val="3CED6733"/>
    <w:rsid w:val="3D117E32"/>
    <w:rsid w:val="3D1908C4"/>
    <w:rsid w:val="3D1E06B7"/>
    <w:rsid w:val="3D3D23CB"/>
    <w:rsid w:val="3D9E6FCD"/>
    <w:rsid w:val="3DA82F2B"/>
    <w:rsid w:val="3DAE5D24"/>
    <w:rsid w:val="3DB53E4D"/>
    <w:rsid w:val="3DC26862"/>
    <w:rsid w:val="3DCB6B27"/>
    <w:rsid w:val="3DE33454"/>
    <w:rsid w:val="3DEA16E2"/>
    <w:rsid w:val="3DFC51AF"/>
    <w:rsid w:val="3E1D7E04"/>
    <w:rsid w:val="3E275034"/>
    <w:rsid w:val="3E2C4492"/>
    <w:rsid w:val="3E3E1FA4"/>
    <w:rsid w:val="3E4E0214"/>
    <w:rsid w:val="3E6F2689"/>
    <w:rsid w:val="3E717642"/>
    <w:rsid w:val="3E7815B5"/>
    <w:rsid w:val="3E905F8C"/>
    <w:rsid w:val="3E9212FF"/>
    <w:rsid w:val="3E9A04CB"/>
    <w:rsid w:val="3EA1143C"/>
    <w:rsid w:val="3EDA0523"/>
    <w:rsid w:val="3EF55A9C"/>
    <w:rsid w:val="3F11677C"/>
    <w:rsid w:val="3F1B21C1"/>
    <w:rsid w:val="3F2E3134"/>
    <w:rsid w:val="3F4A16E5"/>
    <w:rsid w:val="3F5408DA"/>
    <w:rsid w:val="3F5E0CB6"/>
    <w:rsid w:val="3F6930FF"/>
    <w:rsid w:val="3F9E08BA"/>
    <w:rsid w:val="3FC578D7"/>
    <w:rsid w:val="3FCF131D"/>
    <w:rsid w:val="3FFB1CB9"/>
    <w:rsid w:val="400F05FD"/>
    <w:rsid w:val="40130AEE"/>
    <w:rsid w:val="407A6407"/>
    <w:rsid w:val="40D74424"/>
    <w:rsid w:val="40E01436"/>
    <w:rsid w:val="40EE01E3"/>
    <w:rsid w:val="40FD696C"/>
    <w:rsid w:val="41100A2D"/>
    <w:rsid w:val="417A34B6"/>
    <w:rsid w:val="41D83913"/>
    <w:rsid w:val="41DE6B10"/>
    <w:rsid w:val="4200449D"/>
    <w:rsid w:val="4230202C"/>
    <w:rsid w:val="423A3BCC"/>
    <w:rsid w:val="424E4185"/>
    <w:rsid w:val="424E57D2"/>
    <w:rsid w:val="42A548F4"/>
    <w:rsid w:val="42AC2CD3"/>
    <w:rsid w:val="42B26C49"/>
    <w:rsid w:val="42C569B1"/>
    <w:rsid w:val="42E56500"/>
    <w:rsid w:val="42F363DC"/>
    <w:rsid w:val="4305409D"/>
    <w:rsid w:val="43105F63"/>
    <w:rsid w:val="43203FBE"/>
    <w:rsid w:val="43204ECA"/>
    <w:rsid w:val="4339622E"/>
    <w:rsid w:val="433A6FE6"/>
    <w:rsid w:val="43480868"/>
    <w:rsid w:val="4350713C"/>
    <w:rsid w:val="436653E0"/>
    <w:rsid w:val="436A1CEA"/>
    <w:rsid w:val="437C098F"/>
    <w:rsid w:val="439608BF"/>
    <w:rsid w:val="43BB072B"/>
    <w:rsid w:val="43C4431A"/>
    <w:rsid w:val="43C50846"/>
    <w:rsid w:val="43D57FBA"/>
    <w:rsid w:val="4402352B"/>
    <w:rsid w:val="445D0133"/>
    <w:rsid w:val="44A51010"/>
    <w:rsid w:val="44AB6D2F"/>
    <w:rsid w:val="44B83ECB"/>
    <w:rsid w:val="44B951CC"/>
    <w:rsid w:val="44CD14E0"/>
    <w:rsid w:val="44DC50C3"/>
    <w:rsid w:val="44F20B0B"/>
    <w:rsid w:val="452E5F4C"/>
    <w:rsid w:val="4540354E"/>
    <w:rsid w:val="45612018"/>
    <w:rsid w:val="456A3C81"/>
    <w:rsid w:val="458946E9"/>
    <w:rsid w:val="45911A65"/>
    <w:rsid w:val="45A47C0E"/>
    <w:rsid w:val="45A749F3"/>
    <w:rsid w:val="45C8469E"/>
    <w:rsid w:val="45D242B8"/>
    <w:rsid w:val="45D75378"/>
    <w:rsid w:val="45D87270"/>
    <w:rsid w:val="45E16FC8"/>
    <w:rsid w:val="462A00B0"/>
    <w:rsid w:val="465326D6"/>
    <w:rsid w:val="46577FD6"/>
    <w:rsid w:val="466426FB"/>
    <w:rsid w:val="467A1B0C"/>
    <w:rsid w:val="46992A17"/>
    <w:rsid w:val="46D955A7"/>
    <w:rsid w:val="46E1077B"/>
    <w:rsid w:val="46EF7168"/>
    <w:rsid w:val="47133957"/>
    <w:rsid w:val="473D25F4"/>
    <w:rsid w:val="474A5E87"/>
    <w:rsid w:val="47A07E0C"/>
    <w:rsid w:val="47A85730"/>
    <w:rsid w:val="47D37ABF"/>
    <w:rsid w:val="48645AFB"/>
    <w:rsid w:val="4870272E"/>
    <w:rsid w:val="4890499D"/>
    <w:rsid w:val="48983937"/>
    <w:rsid w:val="48B720D5"/>
    <w:rsid w:val="49164ABA"/>
    <w:rsid w:val="495D5D38"/>
    <w:rsid w:val="49660A74"/>
    <w:rsid w:val="497558E3"/>
    <w:rsid w:val="49784A07"/>
    <w:rsid w:val="499318DE"/>
    <w:rsid w:val="49CF64E4"/>
    <w:rsid w:val="49D7054F"/>
    <w:rsid w:val="49DC7715"/>
    <w:rsid w:val="49FB2716"/>
    <w:rsid w:val="4A002D69"/>
    <w:rsid w:val="4A0125E8"/>
    <w:rsid w:val="4A023139"/>
    <w:rsid w:val="4A0F3D62"/>
    <w:rsid w:val="4A1E25DD"/>
    <w:rsid w:val="4A2670CC"/>
    <w:rsid w:val="4A323363"/>
    <w:rsid w:val="4A3E6DC4"/>
    <w:rsid w:val="4A410A2B"/>
    <w:rsid w:val="4A4F17D4"/>
    <w:rsid w:val="4A7B576F"/>
    <w:rsid w:val="4A8034F1"/>
    <w:rsid w:val="4A8D7AE4"/>
    <w:rsid w:val="4A9A260B"/>
    <w:rsid w:val="4AAC3789"/>
    <w:rsid w:val="4AC46517"/>
    <w:rsid w:val="4AF561A9"/>
    <w:rsid w:val="4AFB5D4A"/>
    <w:rsid w:val="4B3D6AD7"/>
    <w:rsid w:val="4B7F3F9E"/>
    <w:rsid w:val="4B9B6082"/>
    <w:rsid w:val="4BAD7954"/>
    <w:rsid w:val="4BB443EE"/>
    <w:rsid w:val="4BE80FA3"/>
    <w:rsid w:val="4BE97828"/>
    <w:rsid w:val="4C1403DF"/>
    <w:rsid w:val="4C1D4C49"/>
    <w:rsid w:val="4C2603A8"/>
    <w:rsid w:val="4C3752D5"/>
    <w:rsid w:val="4C457FC3"/>
    <w:rsid w:val="4C4A0649"/>
    <w:rsid w:val="4C636022"/>
    <w:rsid w:val="4C6A23BA"/>
    <w:rsid w:val="4C7E5ECA"/>
    <w:rsid w:val="4C876AA5"/>
    <w:rsid w:val="4CAE0E5B"/>
    <w:rsid w:val="4CBD1C7E"/>
    <w:rsid w:val="4CC36527"/>
    <w:rsid w:val="4CDB46A0"/>
    <w:rsid w:val="4CE46282"/>
    <w:rsid w:val="4CED6DD2"/>
    <w:rsid w:val="4D0E00FB"/>
    <w:rsid w:val="4D176606"/>
    <w:rsid w:val="4D5514D0"/>
    <w:rsid w:val="4D5D78BE"/>
    <w:rsid w:val="4D975947"/>
    <w:rsid w:val="4DAF725E"/>
    <w:rsid w:val="4DB36B20"/>
    <w:rsid w:val="4DBF5FD3"/>
    <w:rsid w:val="4DDA6C57"/>
    <w:rsid w:val="4DEC4FB0"/>
    <w:rsid w:val="4E075D8A"/>
    <w:rsid w:val="4E0D453F"/>
    <w:rsid w:val="4E377B0A"/>
    <w:rsid w:val="4E434DF2"/>
    <w:rsid w:val="4E5A443F"/>
    <w:rsid w:val="4E677959"/>
    <w:rsid w:val="4E6E09D5"/>
    <w:rsid w:val="4E8F55B7"/>
    <w:rsid w:val="4EB452F5"/>
    <w:rsid w:val="4EBC2C88"/>
    <w:rsid w:val="4EC00FAD"/>
    <w:rsid w:val="4ED6219A"/>
    <w:rsid w:val="4EF96701"/>
    <w:rsid w:val="4F091BE8"/>
    <w:rsid w:val="4F18093D"/>
    <w:rsid w:val="4F2657C7"/>
    <w:rsid w:val="4F4B499B"/>
    <w:rsid w:val="4F6F6C1C"/>
    <w:rsid w:val="4F8218C4"/>
    <w:rsid w:val="4F9843DC"/>
    <w:rsid w:val="4F9C5ABF"/>
    <w:rsid w:val="4FAA0A14"/>
    <w:rsid w:val="4FB7572D"/>
    <w:rsid w:val="4FBA375D"/>
    <w:rsid w:val="4FC62A8C"/>
    <w:rsid w:val="4FD07C4F"/>
    <w:rsid w:val="4FD51F04"/>
    <w:rsid w:val="4FE20F0D"/>
    <w:rsid w:val="4FE51552"/>
    <w:rsid w:val="4FF32556"/>
    <w:rsid w:val="501F3F63"/>
    <w:rsid w:val="502B165F"/>
    <w:rsid w:val="50471921"/>
    <w:rsid w:val="50504C4B"/>
    <w:rsid w:val="50633DC3"/>
    <w:rsid w:val="506C4F55"/>
    <w:rsid w:val="507B413A"/>
    <w:rsid w:val="508903A3"/>
    <w:rsid w:val="509C6E7C"/>
    <w:rsid w:val="50B115D0"/>
    <w:rsid w:val="50C54086"/>
    <w:rsid w:val="50EB50F9"/>
    <w:rsid w:val="511D7354"/>
    <w:rsid w:val="511F1669"/>
    <w:rsid w:val="512D1FE0"/>
    <w:rsid w:val="51397D22"/>
    <w:rsid w:val="513D46B5"/>
    <w:rsid w:val="515A286A"/>
    <w:rsid w:val="515F4C37"/>
    <w:rsid w:val="5162104E"/>
    <w:rsid w:val="51C321AD"/>
    <w:rsid w:val="51CB1156"/>
    <w:rsid w:val="51CD795C"/>
    <w:rsid w:val="51F07213"/>
    <w:rsid w:val="520D6942"/>
    <w:rsid w:val="52344792"/>
    <w:rsid w:val="5264118F"/>
    <w:rsid w:val="52AD40C8"/>
    <w:rsid w:val="52B0630F"/>
    <w:rsid w:val="52CF1C7C"/>
    <w:rsid w:val="52EA6894"/>
    <w:rsid w:val="530D4FE1"/>
    <w:rsid w:val="53353672"/>
    <w:rsid w:val="53726B53"/>
    <w:rsid w:val="537A342A"/>
    <w:rsid w:val="53962820"/>
    <w:rsid w:val="539661DC"/>
    <w:rsid w:val="53A039CC"/>
    <w:rsid w:val="53A1505A"/>
    <w:rsid w:val="53C26F62"/>
    <w:rsid w:val="53E30E28"/>
    <w:rsid w:val="54063E08"/>
    <w:rsid w:val="542E16B3"/>
    <w:rsid w:val="543437E8"/>
    <w:rsid w:val="543B58D8"/>
    <w:rsid w:val="54463D20"/>
    <w:rsid w:val="548D695E"/>
    <w:rsid w:val="548F0899"/>
    <w:rsid w:val="54A37233"/>
    <w:rsid w:val="54AF3537"/>
    <w:rsid w:val="54BE1514"/>
    <w:rsid w:val="54C85664"/>
    <w:rsid w:val="54F73313"/>
    <w:rsid w:val="54F80955"/>
    <w:rsid w:val="54FE72D7"/>
    <w:rsid w:val="55070CFA"/>
    <w:rsid w:val="550C5245"/>
    <w:rsid w:val="555170A7"/>
    <w:rsid w:val="55704235"/>
    <w:rsid w:val="557179E1"/>
    <w:rsid w:val="55745CA5"/>
    <w:rsid w:val="55771C8A"/>
    <w:rsid w:val="5587536D"/>
    <w:rsid w:val="55894DF3"/>
    <w:rsid w:val="559B174B"/>
    <w:rsid w:val="559E0172"/>
    <w:rsid w:val="55B36AF5"/>
    <w:rsid w:val="55CE0CF4"/>
    <w:rsid w:val="55D90D70"/>
    <w:rsid w:val="560010B8"/>
    <w:rsid w:val="5602650C"/>
    <w:rsid w:val="561623FF"/>
    <w:rsid w:val="561C0977"/>
    <w:rsid w:val="56305368"/>
    <w:rsid w:val="566B4385"/>
    <w:rsid w:val="5686187D"/>
    <w:rsid w:val="56B22A9C"/>
    <w:rsid w:val="56BD796F"/>
    <w:rsid w:val="57084388"/>
    <w:rsid w:val="57095B58"/>
    <w:rsid w:val="574769A6"/>
    <w:rsid w:val="579D29FC"/>
    <w:rsid w:val="57B72A76"/>
    <w:rsid w:val="57C3426C"/>
    <w:rsid w:val="57C35297"/>
    <w:rsid w:val="57CC108F"/>
    <w:rsid w:val="57CC12D0"/>
    <w:rsid w:val="57CE1F93"/>
    <w:rsid w:val="57D5628E"/>
    <w:rsid w:val="57E13E40"/>
    <w:rsid w:val="57E66A10"/>
    <w:rsid w:val="580D0871"/>
    <w:rsid w:val="582E4B82"/>
    <w:rsid w:val="5835275A"/>
    <w:rsid w:val="584757E6"/>
    <w:rsid w:val="58700E6B"/>
    <w:rsid w:val="588743D1"/>
    <w:rsid w:val="5887701A"/>
    <w:rsid w:val="58A7637C"/>
    <w:rsid w:val="58B96F0F"/>
    <w:rsid w:val="58BF023E"/>
    <w:rsid w:val="58E10AA2"/>
    <w:rsid w:val="58E6780C"/>
    <w:rsid w:val="58EE26A4"/>
    <w:rsid w:val="58F15AE3"/>
    <w:rsid w:val="590133D1"/>
    <w:rsid w:val="590E2ABF"/>
    <w:rsid w:val="590E6AE4"/>
    <w:rsid w:val="593E3632"/>
    <w:rsid w:val="5964235F"/>
    <w:rsid w:val="59693AF6"/>
    <w:rsid w:val="597E416E"/>
    <w:rsid w:val="59823489"/>
    <w:rsid w:val="598E0B9B"/>
    <w:rsid w:val="59915BB0"/>
    <w:rsid w:val="59A53BAF"/>
    <w:rsid w:val="59B7255D"/>
    <w:rsid w:val="59B91A1F"/>
    <w:rsid w:val="59BF4F14"/>
    <w:rsid w:val="59C0439F"/>
    <w:rsid w:val="59D325B6"/>
    <w:rsid w:val="59FE06FB"/>
    <w:rsid w:val="5A032CF1"/>
    <w:rsid w:val="5A2C16C2"/>
    <w:rsid w:val="5A3B206D"/>
    <w:rsid w:val="5A4C43A4"/>
    <w:rsid w:val="5A557824"/>
    <w:rsid w:val="5A5B737F"/>
    <w:rsid w:val="5A733874"/>
    <w:rsid w:val="5ABE2233"/>
    <w:rsid w:val="5AC926DA"/>
    <w:rsid w:val="5AC97807"/>
    <w:rsid w:val="5AD5166A"/>
    <w:rsid w:val="5AE80F04"/>
    <w:rsid w:val="5B097F52"/>
    <w:rsid w:val="5B1402B7"/>
    <w:rsid w:val="5B5D29DE"/>
    <w:rsid w:val="5B777BD0"/>
    <w:rsid w:val="5BDF5D95"/>
    <w:rsid w:val="5BEE570E"/>
    <w:rsid w:val="5BEE5F01"/>
    <w:rsid w:val="5BF44FC7"/>
    <w:rsid w:val="5BFE7528"/>
    <w:rsid w:val="5C052A04"/>
    <w:rsid w:val="5C08398F"/>
    <w:rsid w:val="5C107384"/>
    <w:rsid w:val="5C425CFC"/>
    <w:rsid w:val="5C504B35"/>
    <w:rsid w:val="5C785F29"/>
    <w:rsid w:val="5C8C4B6F"/>
    <w:rsid w:val="5CB40D3C"/>
    <w:rsid w:val="5CD379A8"/>
    <w:rsid w:val="5D286CF7"/>
    <w:rsid w:val="5D4821B0"/>
    <w:rsid w:val="5D5F1B1E"/>
    <w:rsid w:val="5D750910"/>
    <w:rsid w:val="5D8F5734"/>
    <w:rsid w:val="5D970DFA"/>
    <w:rsid w:val="5DA14CA4"/>
    <w:rsid w:val="5DB03139"/>
    <w:rsid w:val="5DCF1811"/>
    <w:rsid w:val="5DD230AF"/>
    <w:rsid w:val="5DE62272"/>
    <w:rsid w:val="5E2467F1"/>
    <w:rsid w:val="5E6F185C"/>
    <w:rsid w:val="5EA573C6"/>
    <w:rsid w:val="5EBE445A"/>
    <w:rsid w:val="5ECE24FD"/>
    <w:rsid w:val="5EEC108A"/>
    <w:rsid w:val="5F102675"/>
    <w:rsid w:val="5F1918A5"/>
    <w:rsid w:val="5F1A2B43"/>
    <w:rsid w:val="5FB837BB"/>
    <w:rsid w:val="5FBC5760"/>
    <w:rsid w:val="5FE42572"/>
    <w:rsid w:val="5FE95014"/>
    <w:rsid w:val="5FEE0C30"/>
    <w:rsid w:val="5FEF6B94"/>
    <w:rsid w:val="602E21FB"/>
    <w:rsid w:val="60424232"/>
    <w:rsid w:val="604C0515"/>
    <w:rsid w:val="60763BF7"/>
    <w:rsid w:val="609005C6"/>
    <w:rsid w:val="60CC405A"/>
    <w:rsid w:val="60CD0E4E"/>
    <w:rsid w:val="60CE7A79"/>
    <w:rsid w:val="60E71D07"/>
    <w:rsid w:val="60EB2A1B"/>
    <w:rsid w:val="61081834"/>
    <w:rsid w:val="610B445B"/>
    <w:rsid w:val="61273F97"/>
    <w:rsid w:val="6149266B"/>
    <w:rsid w:val="616A4B48"/>
    <w:rsid w:val="61951216"/>
    <w:rsid w:val="61AB4D4D"/>
    <w:rsid w:val="61C52196"/>
    <w:rsid w:val="61C536D8"/>
    <w:rsid w:val="61E215D8"/>
    <w:rsid w:val="61F22612"/>
    <w:rsid w:val="61FF0F48"/>
    <w:rsid w:val="621B3775"/>
    <w:rsid w:val="62364782"/>
    <w:rsid w:val="623766C4"/>
    <w:rsid w:val="625264FE"/>
    <w:rsid w:val="62591417"/>
    <w:rsid w:val="625B3673"/>
    <w:rsid w:val="6275466C"/>
    <w:rsid w:val="62D81168"/>
    <w:rsid w:val="62F95325"/>
    <w:rsid w:val="632443AD"/>
    <w:rsid w:val="63340F72"/>
    <w:rsid w:val="63477908"/>
    <w:rsid w:val="63597266"/>
    <w:rsid w:val="63626A26"/>
    <w:rsid w:val="6372336A"/>
    <w:rsid w:val="637A0531"/>
    <w:rsid w:val="63822E81"/>
    <w:rsid w:val="638338FC"/>
    <w:rsid w:val="6394356A"/>
    <w:rsid w:val="63A83616"/>
    <w:rsid w:val="63C534D1"/>
    <w:rsid w:val="63C61B2C"/>
    <w:rsid w:val="63CC4651"/>
    <w:rsid w:val="63D40BE9"/>
    <w:rsid w:val="64083FE2"/>
    <w:rsid w:val="640B2D01"/>
    <w:rsid w:val="64102431"/>
    <w:rsid w:val="6419782C"/>
    <w:rsid w:val="64A5243A"/>
    <w:rsid w:val="64AC3AD9"/>
    <w:rsid w:val="64B6776F"/>
    <w:rsid w:val="64BF1857"/>
    <w:rsid w:val="64C4339B"/>
    <w:rsid w:val="64C67F32"/>
    <w:rsid w:val="64EF0AC0"/>
    <w:rsid w:val="64F17994"/>
    <w:rsid w:val="64F21C7B"/>
    <w:rsid w:val="64F531DE"/>
    <w:rsid w:val="651155E7"/>
    <w:rsid w:val="6518584B"/>
    <w:rsid w:val="65373578"/>
    <w:rsid w:val="655D6183"/>
    <w:rsid w:val="656335BB"/>
    <w:rsid w:val="657D27B9"/>
    <w:rsid w:val="65833078"/>
    <w:rsid w:val="65917F3C"/>
    <w:rsid w:val="6598611B"/>
    <w:rsid w:val="65C67BA4"/>
    <w:rsid w:val="65FC3957"/>
    <w:rsid w:val="66134C42"/>
    <w:rsid w:val="66572C80"/>
    <w:rsid w:val="665D79FE"/>
    <w:rsid w:val="66A73B6A"/>
    <w:rsid w:val="66C011C0"/>
    <w:rsid w:val="66C60236"/>
    <w:rsid w:val="66CE1BA6"/>
    <w:rsid w:val="66DE6EBA"/>
    <w:rsid w:val="66FB2155"/>
    <w:rsid w:val="66FB724E"/>
    <w:rsid w:val="671E772C"/>
    <w:rsid w:val="671F124A"/>
    <w:rsid w:val="672458D5"/>
    <w:rsid w:val="67334135"/>
    <w:rsid w:val="673E3E60"/>
    <w:rsid w:val="67573E00"/>
    <w:rsid w:val="677A33C6"/>
    <w:rsid w:val="678127F9"/>
    <w:rsid w:val="67BE774A"/>
    <w:rsid w:val="67D13FB2"/>
    <w:rsid w:val="67EF7BFE"/>
    <w:rsid w:val="68043F0B"/>
    <w:rsid w:val="68053517"/>
    <w:rsid w:val="681F6961"/>
    <w:rsid w:val="684310A2"/>
    <w:rsid w:val="684B0DB8"/>
    <w:rsid w:val="68592DE1"/>
    <w:rsid w:val="68610A2F"/>
    <w:rsid w:val="68694610"/>
    <w:rsid w:val="686964CB"/>
    <w:rsid w:val="68732D83"/>
    <w:rsid w:val="687F6C9F"/>
    <w:rsid w:val="68805514"/>
    <w:rsid w:val="68A03315"/>
    <w:rsid w:val="68B03703"/>
    <w:rsid w:val="68D00C64"/>
    <w:rsid w:val="68FA2608"/>
    <w:rsid w:val="69316E2F"/>
    <w:rsid w:val="694E2071"/>
    <w:rsid w:val="69692EB9"/>
    <w:rsid w:val="69766163"/>
    <w:rsid w:val="697A3B33"/>
    <w:rsid w:val="697F1564"/>
    <w:rsid w:val="698D6162"/>
    <w:rsid w:val="69AA4EE0"/>
    <w:rsid w:val="69D44760"/>
    <w:rsid w:val="6A520EC7"/>
    <w:rsid w:val="6A5C3E1D"/>
    <w:rsid w:val="6A7675E3"/>
    <w:rsid w:val="6AF87E20"/>
    <w:rsid w:val="6AFC5C0F"/>
    <w:rsid w:val="6B1E6E0A"/>
    <w:rsid w:val="6B322639"/>
    <w:rsid w:val="6B4F3CEC"/>
    <w:rsid w:val="6B5770BE"/>
    <w:rsid w:val="6B5D2FCA"/>
    <w:rsid w:val="6B9363FE"/>
    <w:rsid w:val="6BA22A9E"/>
    <w:rsid w:val="6BDA5F51"/>
    <w:rsid w:val="6BE40D80"/>
    <w:rsid w:val="6BEB7166"/>
    <w:rsid w:val="6BF109CF"/>
    <w:rsid w:val="6C172B68"/>
    <w:rsid w:val="6C364C3B"/>
    <w:rsid w:val="6C557EA4"/>
    <w:rsid w:val="6C5E0C81"/>
    <w:rsid w:val="6C636C38"/>
    <w:rsid w:val="6C6F711A"/>
    <w:rsid w:val="6CC5767D"/>
    <w:rsid w:val="6CCD3D4A"/>
    <w:rsid w:val="6CE97634"/>
    <w:rsid w:val="6D0E7441"/>
    <w:rsid w:val="6D3A6BE4"/>
    <w:rsid w:val="6D453EB0"/>
    <w:rsid w:val="6D76617C"/>
    <w:rsid w:val="6D87617D"/>
    <w:rsid w:val="6D9904CF"/>
    <w:rsid w:val="6DB06B60"/>
    <w:rsid w:val="6DB131AD"/>
    <w:rsid w:val="6DB34098"/>
    <w:rsid w:val="6DB545B6"/>
    <w:rsid w:val="6DC8029C"/>
    <w:rsid w:val="6DD34868"/>
    <w:rsid w:val="6DE02FB4"/>
    <w:rsid w:val="6DF07E6A"/>
    <w:rsid w:val="6DF901E4"/>
    <w:rsid w:val="6E212368"/>
    <w:rsid w:val="6E353711"/>
    <w:rsid w:val="6E3E6B5D"/>
    <w:rsid w:val="6E3F0D41"/>
    <w:rsid w:val="6E495241"/>
    <w:rsid w:val="6E514CED"/>
    <w:rsid w:val="6E673E7A"/>
    <w:rsid w:val="6E711472"/>
    <w:rsid w:val="6E8B34EB"/>
    <w:rsid w:val="6E8B78A9"/>
    <w:rsid w:val="6E9833A3"/>
    <w:rsid w:val="6EAE78A8"/>
    <w:rsid w:val="6EB563D5"/>
    <w:rsid w:val="6ED92677"/>
    <w:rsid w:val="6F060227"/>
    <w:rsid w:val="6F094FE7"/>
    <w:rsid w:val="6F156DB8"/>
    <w:rsid w:val="6F225983"/>
    <w:rsid w:val="6F4964E3"/>
    <w:rsid w:val="6F566079"/>
    <w:rsid w:val="6F607DC0"/>
    <w:rsid w:val="6F711F25"/>
    <w:rsid w:val="6F750A5D"/>
    <w:rsid w:val="6F872D6A"/>
    <w:rsid w:val="6F876372"/>
    <w:rsid w:val="6F993AC5"/>
    <w:rsid w:val="6FB705C8"/>
    <w:rsid w:val="6FE36A43"/>
    <w:rsid w:val="6FE552F4"/>
    <w:rsid w:val="6FEC79C7"/>
    <w:rsid w:val="6FFC5590"/>
    <w:rsid w:val="702664FC"/>
    <w:rsid w:val="70311823"/>
    <w:rsid w:val="70317629"/>
    <w:rsid w:val="703755EF"/>
    <w:rsid w:val="706D1DD0"/>
    <w:rsid w:val="70707148"/>
    <w:rsid w:val="70770244"/>
    <w:rsid w:val="707A1AA0"/>
    <w:rsid w:val="708256DC"/>
    <w:rsid w:val="70856B87"/>
    <w:rsid w:val="70CB48C6"/>
    <w:rsid w:val="70D527EE"/>
    <w:rsid w:val="70E01694"/>
    <w:rsid w:val="70F06E1E"/>
    <w:rsid w:val="70F33FCC"/>
    <w:rsid w:val="70F43E40"/>
    <w:rsid w:val="70FA31A5"/>
    <w:rsid w:val="711C4B43"/>
    <w:rsid w:val="71426C19"/>
    <w:rsid w:val="715B5300"/>
    <w:rsid w:val="71630665"/>
    <w:rsid w:val="71765866"/>
    <w:rsid w:val="719A2D01"/>
    <w:rsid w:val="71BB2536"/>
    <w:rsid w:val="71C31705"/>
    <w:rsid w:val="71D27F8A"/>
    <w:rsid w:val="71E71149"/>
    <w:rsid w:val="71E74AD9"/>
    <w:rsid w:val="71EA31A9"/>
    <w:rsid w:val="72197956"/>
    <w:rsid w:val="7221301B"/>
    <w:rsid w:val="72525AF6"/>
    <w:rsid w:val="72553024"/>
    <w:rsid w:val="72960745"/>
    <w:rsid w:val="72A36074"/>
    <w:rsid w:val="72AF7892"/>
    <w:rsid w:val="72B2746D"/>
    <w:rsid w:val="72D02BA9"/>
    <w:rsid w:val="72E205B5"/>
    <w:rsid w:val="72E37530"/>
    <w:rsid w:val="73032362"/>
    <w:rsid w:val="73122968"/>
    <w:rsid w:val="731C4FB2"/>
    <w:rsid w:val="731F5D5E"/>
    <w:rsid w:val="73226B55"/>
    <w:rsid w:val="73410663"/>
    <w:rsid w:val="737028D0"/>
    <w:rsid w:val="738721FB"/>
    <w:rsid w:val="73AD5CF9"/>
    <w:rsid w:val="73C51AD5"/>
    <w:rsid w:val="73E93DC5"/>
    <w:rsid w:val="74036E63"/>
    <w:rsid w:val="741C0A7C"/>
    <w:rsid w:val="741E793C"/>
    <w:rsid w:val="74335B64"/>
    <w:rsid w:val="743638B1"/>
    <w:rsid w:val="745E3944"/>
    <w:rsid w:val="7479038D"/>
    <w:rsid w:val="74AC09FB"/>
    <w:rsid w:val="74DA5A74"/>
    <w:rsid w:val="74EA2AF4"/>
    <w:rsid w:val="75487766"/>
    <w:rsid w:val="755C49F2"/>
    <w:rsid w:val="756E5B16"/>
    <w:rsid w:val="75BA6515"/>
    <w:rsid w:val="76014C7E"/>
    <w:rsid w:val="76071E48"/>
    <w:rsid w:val="761B33DD"/>
    <w:rsid w:val="7635099D"/>
    <w:rsid w:val="763F04C6"/>
    <w:rsid w:val="764472AB"/>
    <w:rsid w:val="767F203F"/>
    <w:rsid w:val="770B1FE4"/>
    <w:rsid w:val="77187209"/>
    <w:rsid w:val="7725422A"/>
    <w:rsid w:val="774E3CEE"/>
    <w:rsid w:val="77504364"/>
    <w:rsid w:val="77762421"/>
    <w:rsid w:val="777959AA"/>
    <w:rsid w:val="777B0216"/>
    <w:rsid w:val="778D71F7"/>
    <w:rsid w:val="77B56B1F"/>
    <w:rsid w:val="77CC1D7D"/>
    <w:rsid w:val="77F20227"/>
    <w:rsid w:val="78052F8F"/>
    <w:rsid w:val="780F09F4"/>
    <w:rsid w:val="78195857"/>
    <w:rsid w:val="782B3558"/>
    <w:rsid w:val="782E3942"/>
    <w:rsid w:val="783F3620"/>
    <w:rsid w:val="784B02F5"/>
    <w:rsid w:val="785D6772"/>
    <w:rsid w:val="78602FF3"/>
    <w:rsid w:val="7875555C"/>
    <w:rsid w:val="788141E6"/>
    <w:rsid w:val="78816B4B"/>
    <w:rsid w:val="78A90480"/>
    <w:rsid w:val="78A9196D"/>
    <w:rsid w:val="78BF6AF9"/>
    <w:rsid w:val="78CB0927"/>
    <w:rsid w:val="78CB7456"/>
    <w:rsid w:val="78D96324"/>
    <w:rsid w:val="78EC1071"/>
    <w:rsid w:val="78FD5E30"/>
    <w:rsid w:val="790A66F3"/>
    <w:rsid w:val="7921410F"/>
    <w:rsid w:val="79534B00"/>
    <w:rsid w:val="795E7356"/>
    <w:rsid w:val="79685449"/>
    <w:rsid w:val="798624E6"/>
    <w:rsid w:val="798C3B9F"/>
    <w:rsid w:val="79914AAB"/>
    <w:rsid w:val="799A22CB"/>
    <w:rsid w:val="79B0782D"/>
    <w:rsid w:val="79BA23F8"/>
    <w:rsid w:val="79D46610"/>
    <w:rsid w:val="79E67394"/>
    <w:rsid w:val="79F820BC"/>
    <w:rsid w:val="7A240EEC"/>
    <w:rsid w:val="7A336CC5"/>
    <w:rsid w:val="7A364017"/>
    <w:rsid w:val="7A6D7B21"/>
    <w:rsid w:val="7A8265E1"/>
    <w:rsid w:val="7A8B6668"/>
    <w:rsid w:val="7A8E0D98"/>
    <w:rsid w:val="7AAE121A"/>
    <w:rsid w:val="7ABE2599"/>
    <w:rsid w:val="7ACA2CF9"/>
    <w:rsid w:val="7ACC7FB1"/>
    <w:rsid w:val="7B03623F"/>
    <w:rsid w:val="7B1E6141"/>
    <w:rsid w:val="7B1F2C5B"/>
    <w:rsid w:val="7B4954EB"/>
    <w:rsid w:val="7B68003F"/>
    <w:rsid w:val="7B686D42"/>
    <w:rsid w:val="7B841746"/>
    <w:rsid w:val="7BA64DF5"/>
    <w:rsid w:val="7BA8347C"/>
    <w:rsid w:val="7BAB3581"/>
    <w:rsid w:val="7BCC0D95"/>
    <w:rsid w:val="7BDA1B3B"/>
    <w:rsid w:val="7BE435F0"/>
    <w:rsid w:val="7BEA22C0"/>
    <w:rsid w:val="7BEC670E"/>
    <w:rsid w:val="7BFD2667"/>
    <w:rsid w:val="7C14006D"/>
    <w:rsid w:val="7C4139F3"/>
    <w:rsid w:val="7C4D2CF6"/>
    <w:rsid w:val="7C6C5AC7"/>
    <w:rsid w:val="7C736811"/>
    <w:rsid w:val="7C8C263D"/>
    <w:rsid w:val="7C91775E"/>
    <w:rsid w:val="7CA17F66"/>
    <w:rsid w:val="7CB61D88"/>
    <w:rsid w:val="7CBF67A8"/>
    <w:rsid w:val="7CC47929"/>
    <w:rsid w:val="7CC6544B"/>
    <w:rsid w:val="7CC70CA3"/>
    <w:rsid w:val="7CC74A0A"/>
    <w:rsid w:val="7CCE4A80"/>
    <w:rsid w:val="7D0055F2"/>
    <w:rsid w:val="7D0239FF"/>
    <w:rsid w:val="7D345F26"/>
    <w:rsid w:val="7D3D5533"/>
    <w:rsid w:val="7D480FE9"/>
    <w:rsid w:val="7D516830"/>
    <w:rsid w:val="7D5E40CD"/>
    <w:rsid w:val="7D7A5183"/>
    <w:rsid w:val="7D830316"/>
    <w:rsid w:val="7DB5724B"/>
    <w:rsid w:val="7DCD56F2"/>
    <w:rsid w:val="7DD634F2"/>
    <w:rsid w:val="7DEC7248"/>
    <w:rsid w:val="7DFA40C9"/>
    <w:rsid w:val="7E1A042F"/>
    <w:rsid w:val="7E991F57"/>
    <w:rsid w:val="7ECC7B23"/>
    <w:rsid w:val="7ECD1412"/>
    <w:rsid w:val="7ED01BC2"/>
    <w:rsid w:val="7F001CE7"/>
    <w:rsid w:val="7F641C7E"/>
    <w:rsid w:val="7F817906"/>
    <w:rsid w:val="7FAE02CB"/>
    <w:rsid w:val="7FDA2751"/>
    <w:rsid w:val="7FE47E50"/>
    <w:rsid w:val="7FE75C6E"/>
    <w:rsid w:val="7FEEBE34"/>
    <w:rsid w:val="7FF8654D"/>
    <w:rsid w:val="FDFF9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iPriority="99"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qFormat="1"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720" w:firstLineChars="200"/>
      <w:jc w:val="both"/>
    </w:pPr>
    <w:rPr>
      <w:rFonts w:ascii="Times New Roman" w:hAnsi="Times New Roman" w:eastAsia="宋体" w:cs="Times New Roman"/>
      <w:kern w:val="2"/>
      <w:sz w:val="28"/>
      <w:szCs w:val="28"/>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3" w:lineRule="auto"/>
      <w:outlineLvl w:val="2"/>
    </w:pPr>
    <w:rPr>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0"/>
    <w:pPr>
      <w:ind w:firstLine="420"/>
    </w:pPr>
    <w:rPr>
      <w:rFonts w:ascii="Calibri" w:hAnsi="Calibri"/>
      <w:szCs w:val="22"/>
    </w:rPr>
  </w:style>
  <w:style w:type="paragraph" w:styleId="7">
    <w:name w:val="index 5"/>
    <w:basedOn w:val="1"/>
    <w:next w:val="1"/>
    <w:qFormat/>
    <w:locked/>
    <w:uiPriority w:val="0"/>
    <w:pPr>
      <w:ind w:left="800" w:leftChars="800"/>
    </w:pPr>
  </w:style>
  <w:style w:type="paragraph" w:styleId="8">
    <w:name w:val="annotation text"/>
    <w:basedOn w:val="1"/>
    <w:link w:val="50"/>
    <w:semiHidden/>
    <w:qFormat/>
    <w:uiPriority w:val="0"/>
    <w:pPr>
      <w:jc w:val="left"/>
    </w:pPr>
    <w:rPr>
      <w:kern w:val="0"/>
      <w:sz w:val="24"/>
      <w:szCs w:val="20"/>
    </w:rPr>
  </w:style>
  <w:style w:type="paragraph" w:styleId="9">
    <w:name w:val="Body Text"/>
    <w:basedOn w:val="1"/>
    <w:next w:val="1"/>
    <w:link w:val="5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52"/>
    <w:qFormat/>
    <w:uiPriority w:val="0"/>
    <w:pPr>
      <w:spacing w:after="120"/>
      <w:ind w:left="420" w:leftChars="200"/>
    </w:pPr>
    <w:rPr>
      <w:kern w:val="0"/>
      <w:sz w:val="24"/>
      <w:szCs w:val="20"/>
    </w:rPr>
  </w:style>
  <w:style w:type="paragraph" w:customStyle="1" w:styleId="11">
    <w:name w:val="样式 正文文本缩进 + 行距: 1.5 倍行距"/>
    <w:basedOn w:val="10"/>
    <w:qFormat/>
    <w:uiPriority w:val="0"/>
    <w:pPr>
      <w:spacing w:line="360" w:lineRule="auto"/>
      <w:ind w:left="90" w:leftChars="32" w:firstLine="560"/>
    </w:pPr>
    <w:rPr>
      <w:rFonts w:cs="宋体"/>
      <w:szCs w:val="20"/>
    </w:rPr>
  </w:style>
  <w:style w:type="paragraph" w:styleId="12">
    <w:name w:val="Plain Text"/>
    <w:basedOn w:val="1"/>
    <w:next w:val="13"/>
    <w:qFormat/>
    <w:locked/>
    <w:uiPriority w:val="0"/>
    <w:rPr>
      <w:rFonts w:ascii="宋体" w:hAnsi="Courier New"/>
    </w:rPr>
  </w:style>
  <w:style w:type="paragraph" w:styleId="13">
    <w:name w:val="toc 1"/>
    <w:basedOn w:val="1"/>
    <w:next w:val="1"/>
    <w:unhideWhenUsed/>
    <w:qFormat/>
    <w:locked/>
    <w:uiPriority w:val="39"/>
    <w:pPr>
      <w:tabs>
        <w:tab w:val="right" w:leader="dot" w:pos="8296"/>
      </w:tabs>
      <w:spacing w:line="400" w:lineRule="exact"/>
      <w:ind w:firstLine="0" w:firstLineChars="0"/>
    </w:pPr>
  </w:style>
  <w:style w:type="paragraph" w:styleId="14">
    <w:name w:val="List Bullet 5"/>
    <w:basedOn w:val="1"/>
    <w:qFormat/>
    <w:locked/>
    <w:uiPriority w:val="0"/>
    <w:pPr>
      <w:numPr>
        <w:ilvl w:val="0"/>
        <w:numId w:val="1"/>
      </w:numPr>
      <w:tabs>
        <w:tab w:val="left" w:pos="2040"/>
      </w:tabs>
    </w:pPr>
  </w:style>
  <w:style w:type="paragraph" w:styleId="15">
    <w:name w:val="Date"/>
    <w:basedOn w:val="1"/>
    <w:next w:val="1"/>
    <w:link w:val="53"/>
    <w:qFormat/>
    <w:uiPriority w:val="0"/>
    <w:pPr>
      <w:ind w:left="100" w:leftChars="2500"/>
    </w:pPr>
    <w:rPr>
      <w:kern w:val="0"/>
      <w:sz w:val="24"/>
      <w:szCs w:val="20"/>
    </w:rPr>
  </w:style>
  <w:style w:type="paragraph" w:styleId="16">
    <w:name w:val="Body Text Indent 2"/>
    <w:basedOn w:val="1"/>
    <w:next w:val="1"/>
    <w:qFormat/>
    <w:locked/>
    <w:uiPriority w:val="0"/>
    <w:pPr>
      <w:spacing w:after="120" w:line="480" w:lineRule="auto"/>
      <w:ind w:left="420" w:leftChars="200"/>
    </w:pPr>
  </w:style>
  <w:style w:type="paragraph" w:styleId="17">
    <w:name w:val="Balloon Text"/>
    <w:basedOn w:val="1"/>
    <w:link w:val="54"/>
    <w:semiHidden/>
    <w:qFormat/>
    <w:uiPriority w:val="0"/>
    <w:rPr>
      <w:kern w:val="0"/>
      <w:sz w:val="18"/>
      <w:szCs w:val="20"/>
    </w:rPr>
  </w:style>
  <w:style w:type="paragraph" w:styleId="18">
    <w:name w:val="footer"/>
    <w:basedOn w:val="1"/>
    <w:link w:val="55"/>
    <w:qFormat/>
    <w:uiPriority w:val="99"/>
    <w:pPr>
      <w:tabs>
        <w:tab w:val="center" w:pos="4153"/>
        <w:tab w:val="right" w:pos="8306"/>
      </w:tabs>
      <w:snapToGrid w:val="0"/>
      <w:jc w:val="left"/>
    </w:pPr>
    <w:rPr>
      <w:kern w:val="0"/>
      <w:sz w:val="18"/>
      <w:szCs w:val="20"/>
    </w:rPr>
  </w:style>
  <w:style w:type="paragraph" w:styleId="19">
    <w:name w:val="header"/>
    <w:basedOn w:val="1"/>
    <w:link w:val="56"/>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List Continue 4"/>
    <w:basedOn w:val="1"/>
    <w:next w:val="1"/>
    <w:qFormat/>
    <w:locked/>
    <w:uiPriority w:val="0"/>
    <w:pPr>
      <w:spacing w:after="120" w:line="360" w:lineRule="auto"/>
      <w:ind w:left="1680" w:firstLine="480"/>
    </w:pPr>
    <w:rPr>
      <w:rFonts w:ascii="宋体"/>
      <w:sz w:val="24"/>
    </w:rPr>
  </w:style>
  <w:style w:type="paragraph" w:styleId="21">
    <w:name w:val="Subtitle"/>
    <w:basedOn w:val="1"/>
    <w:next w:val="1"/>
    <w:qFormat/>
    <w:locked/>
    <w:uiPriority w:val="0"/>
    <w:pPr>
      <w:spacing w:line="480" w:lineRule="exact"/>
      <w:ind w:firstLine="200" w:firstLineChars="200"/>
      <w:outlineLvl w:val="1"/>
    </w:pPr>
    <w:rPr>
      <w:rFonts w:ascii="宋体" w:hAnsi="宋体" w:eastAsia="宋体"/>
      <w:bCs/>
      <w:kern w:val="28"/>
      <w:sz w:val="24"/>
      <w:szCs w:val="32"/>
    </w:rPr>
  </w:style>
  <w:style w:type="paragraph" w:styleId="22">
    <w:name w:val="List"/>
    <w:basedOn w:val="1"/>
    <w:next w:val="1"/>
    <w:qFormat/>
    <w:locked/>
    <w:uiPriority w:val="0"/>
    <w:pPr>
      <w:ind w:left="420" w:hanging="420"/>
    </w:pPr>
  </w:style>
  <w:style w:type="paragraph" w:styleId="23">
    <w:name w:val="footnote text"/>
    <w:basedOn w:val="1"/>
    <w:next w:val="7"/>
    <w:unhideWhenUsed/>
    <w:qFormat/>
    <w:locked/>
    <w:uiPriority w:val="99"/>
    <w:pPr>
      <w:snapToGrid w:val="0"/>
      <w:jc w:val="left"/>
    </w:pPr>
    <w:rPr>
      <w:rFonts w:ascii="Calibri" w:hAnsi="Calibri" w:eastAsia="仿宋" w:cs="Times New Roman"/>
      <w:sz w:val="18"/>
      <w:szCs w:val="18"/>
    </w:rPr>
  </w:style>
  <w:style w:type="paragraph" w:styleId="24">
    <w:name w:val="Body Text 2"/>
    <w:basedOn w:val="1"/>
    <w:next w:val="1"/>
    <w:unhideWhenUsed/>
    <w:qFormat/>
    <w:locked/>
    <w:uiPriority w:val="99"/>
    <w:pPr>
      <w:spacing w:after="120" w:line="480" w:lineRule="auto"/>
    </w:pPr>
  </w:style>
  <w:style w:type="paragraph" w:styleId="25">
    <w:name w:val="Normal (Web)"/>
    <w:basedOn w:val="1"/>
    <w:link w:val="57"/>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0"/>
    <w:pPr>
      <w:snapToGrid w:val="0"/>
      <w:spacing w:line="500" w:lineRule="exact"/>
      <w:ind w:firstLine="200"/>
    </w:pPr>
    <w:rPr>
      <w:bCs/>
      <w:szCs w:val="32"/>
    </w:rPr>
  </w:style>
  <w:style w:type="paragraph" w:styleId="27">
    <w:name w:val="annotation subject"/>
    <w:basedOn w:val="8"/>
    <w:next w:val="8"/>
    <w:link w:val="58"/>
    <w:semiHidden/>
    <w:qFormat/>
    <w:uiPriority w:val="0"/>
    <w:rPr>
      <w:b/>
    </w:rPr>
  </w:style>
  <w:style w:type="paragraph" w:styleId="28">
    <w:name w:val="Body Text First Indent"/>
    <w:basedOn w:val="9"/>
    <w:next w:val="1"/>
    <w:qFormat/>
    <w:locked/>
    <w:uiPriority w:val="0"/>
    <w:pPr>
      <w:spacing w:line="500" w:lineRule="exact"/>
      <w:ind w:firstLine="420" w:firstLineChars="100"/>
    </w:pPr>
  </w:style>
  <w:style w:type="paragraph" w:styleId="29">
    <w:name w:val="Body Text First Indent 2"/>
    <w:basedOn w:val="10"/>
    <w:next w:val="28"/>
    <w:qFormat/>
    <w:locked/>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0"/>
    <w:rPr>
      <w:rFonts w:ascii="Times New Roman" w:hAnsi="Times New Roman" w:eastAsia="宋体" w:cs="Times New Roman"/>
      <w:b/>
      <w:bCs/>
    </w:rPr>
  </w:style>
  <w:style w:type="character" w:styleId="34">
    <w:name w:val="page number"/>
    <w:qFormat/>
    <w:locked/>
    <w:uiPriority w:val="0"/>
  </w:style>
  <w:style w:type="character" w:styleId="35">
    <w:name w:val="FollowedHyperlink"/>
    <w:basedOn w:val="32"/>
    <w:qFormat/>
    <w:locked/>
    <w:uiPriority w:val="0"/>
    <w:rPr>
      <w:color w:val="800000"/>
      <w:u w:val="single"/>
    </w:rPr>
  </w:style>
  <w:style w:type="character" w:styleId="36">
    <w:name w:val="Emphasis"/>
    <w:basedOn w:val="32"/>
    <w:qFormat/>
    <w:locked/>
    <w:uiPriority w:val="0"/>
    <w:rPr>
      <w:i/>
    </w:rPr>
  </w:style>
  <w:style w:type="character" w:styleId="37">
    <w:name w:val="Hyperlink"/>
    <w:basedOn w:val="32"/>
    <w:qFormat/>
    <w:locked/>
    <w:uiPriority w:val="0"/>
    <w:rPr>
      <w:color w:val="0000FF"/>
      <w:u w:val="single"/>
    </w:rPr>
  </w:style>
  <w:style w:type="character" w:styleId="38">
    <w:name w:val="annotation reference"/>
    <w:semiHidden/>
    <w:qFormat/>
    <w:uiPriority w:val="0"/>
    <w:rPr>
      <w:sz w:val="21"/>
    </w:rPr>
  </w:style>
  <w:style w:type="paragraph" w:customStyle="1" w:styleId="39">
    <w:name w:val="Body Text 21"/>
    <w:basedOn w:val="1"/>
    <w:qFormat/>
    <w:uiPriority w:val="0"/>
    <w:pPr>
      <w:spacing w:after="120" w:line="480" w:lineRule="auto"/>
    </w:pPr>
  </w:style>
  <w:style w:type="paragraph" w:customStyle="1" w:styleId="40">
    <w:name w:val="z正文"/>
    <w:qFormat/>
    <w:uiPriority w:val="99"/>
    <w:pPr>
      <w:widowControl w:val="0"/>
      <w:tabs>
        <w:tab w:val="left" w:pos="525"/>
      </w:tabs>
      <w:snapToGrid w:val="0"/>
      <w:spacing w:line="360" w:lineRule="auto"/>
      <w:jc w:val="both"/>
    </w:pPr>
    <w:rPr>
      <w:rFonts w:ascii="宋体" w:hAnsi="宋体" w:eastAsia="宋体" w:cs="Times New Roman"/>
      <w:kern w:val="2"/>
      <w:sz w:val="24"/>
      <w:lang w:val="en-US" w:eastAsia="zh-CN" w:bidi="ar-SA"/>
    </w:rPr>
  </w:style>
  <w:style w:type="paragraph" w:customStyle="1" w:styleId="4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Normal1"/>
    <w:qFormat/>
    <w:uiPriority w:val="0"/>
    <w:pPr>
      <w:widowControl w:val="0"/>
    </w:pPr>
    <w:rPr>
      <w:rFonts w:ascii="Times New Roman" w:hAnsi="Cambria" w:eastAsia="宋体" w:cs="Times New Roman"/>
      <w:sz w:val="21"/>
      <w:lang w:val="en-US" w:eastAsia="zh-CN" w:bidi="en-US"/>
    </w:rPr>
  </w:style>
  <w:style w:type="paragraph" w:customStyle="1" w:styleId="43">
    <w:name w:val="表格内"/>
    <w:basedOn w:val="1"/>
    <w:qFormat/>
    <w:uiPriority w:val="0"/>
    <w:pPr>
      <w:spacing w:line="360" w:lineRule="exact"/>
      <w:jc w:val="center"/>
    </w:pPr>
    <w:rPr>
      <w:snapToGrid w:val="0"/>
      <w:szCs w:val="21"/>
    </w:rPr>
  </w:style>
  <w:style w:type="paragraph" w:customStyle="1" w:styleId="44">
    <w:name w:val="Default"/>
    <w:basedOn w:val="45"/>
    <w:next w:val="1"/>
    <w:qFormat/>
    <w:uiPriority w:val="0"/>
    <w:pPr>
      <w:tabs>
        <w:tab w:val="left" w:pos="1845"/>
      </w:tabs>
      <w:autoSpaceDE w:val="0"/>
      <w:autoSpaceDN w:val="0"/>
      <w:adjustRightInd w:val="0"/>
    </w:pPr>
    <w:rPr>
      <w:rFonts w:ascii="仿宋_GB2312" w:eastAsia="仿宋_GB2312" w:cs="仿宋_GB2312"/>
      <w:color w:val="000000"/>
      <w:sz w:val="24"/>
      <w:szCs w:val="24"/>
    </w:rPr>
  </w:style>
  <w:style w:type="paragraph" w:customStyle="1" w:styleId="45">
    <w:name w:val="纯文本1"/>
    <w:basedOn w:val="1"/>
    <w:qFormat/>
    <w:uiPriority w:val="0"/>
    <w:pPr>
      <w:tabs>
        <w:tab w:val="left" w:pos="1845"/>
      </w:tabs>
      <w:spacing w:line="240" w:lineRule="exact"/>
      <w:jc w:val="center"/>
    </w:pPr>
    <w:rPr>
      <w:sz w:val="18"/>
    </w:rPr>
  </w:style>
  <w:style w:type="paragraph" w:customStyle="1" w:styleId="46">
    <w:name w:val="Char"/>
    <w:basedOn w:val="1"/>
    <w:next w:val="1"/>
    <w:qFormat/>
    <w:uiPriority w:val="0"/>
    <w:rPr>
      <w:rFonts w:ascii="Arial" w:hAnsi="Arial" w:eastAsia="黑体"/>
      <w:b/>
    </w:rPr>
  </w:style>
  <w:style w:type="paragraph" w:customStyle="1" w:styleId="47">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character" w:customStyle="1" w:styleId="48">
    <w:name w:val="NormalCharacter"/>
    <w:semiHidden/>
    <w:qFormat/>
    <w:uiPriority w:val="0"/>
    <w:rPr>
      <w:rFonts w:ascii="Times New Roman" w:hAnsi="Times New Roman" w:eastAsia="宋体"/>
      <w:kern w:val="2"/>
      <w:sz w:val="28"/>
      <w:szCs w:val="28"/>
      <w:lang w:val="en-US" w:eastAsia="zh-CN" w:bidi="ar-SA"/>
    </w:rPr>
  </w:style>
  <w:style w:type="paragraph" w:customStyle="1" w:styleId="49">
    <w:name w:val="正文首行缩进 21"/>
    <w:basedOn w:val="10"/>
    <w:next w:val="1"/>
    <w:qFormat/>
    <w:uiPriority w:val="0"/>
    <w:pPr>
      <w:ind w:firstLine="420"/>
    </w:pPr>
  </w:style>
  <w:style w:type="character" w:customStyle="1" w:styleId="50">
    <w:name w:val="批注文字 字符"/>
    <w:link w:val="8"/>
    <w:qFormat/>
    <w:locked/>
    <w:uiPriority w:val="0"/>
    <w:rPr>
      <w:rFonts w:ascii="Times New Roman" w:hAnsi="Times New Roman" w:eastAsia="宋体"/>
      <w:sz w:val="24"/>
    </w:rPr>
  </w:style>
  <w:style w:type="character" w:customStyle="1" w:styleId="51">
    <w:name w:val="正文文本 字符"/>
    <w:link w:val="9"/>
    <w:qFormat/>
    <w:locked/>
    <w:uiPriority w:val="0"/>
    <w:rPr>
      <w:sz w:val="18"/>
    </w:rPr>
  </w:style>
  <w:style w:type="character" w:customStyle="1" w:styleId="52">
    <w:name w:val="正文文本缩进 字符"/>
    <w:link w:val="10"/>
    <w:semiHidden/>
    <w:qFormat/>
    <w:locked/>
    <w:uiPriority w:val="0"/>
    <w:rPr>
      <w:rFonts w:ascii="Times New Roman" w:hAnsi="Times New Roman" w:eastAsia="宋体"/>
      <w:sz w:val="24"/>
    </w:rPr>
  </w:style>
  <w:style w:type="character" w:customStyle="1" w:styleId="53">
    <w:name w:val="日期 字符1"/>
    <w:link w:val="15"/>
    <w:qFormat/>
    <w:locked/>
    <w:uiPriority w:val="0"/>
    <w:rPr>
      <w:rFonts w:ascii="Times New Roman" w:hAnsi="Times New Roman" w:eastAsia="宋体"/>
      <w:sz w:val="24"/>
    </w:rPr>
  </w:style>
  <w:style w:type="character" w:customStyle="1" w:styleId="54">
    <w:name w:val="批注框文本 字符"/>
    <w:link w:val="17"/>
    <w:semiHidden/>
    <w:qFormat/>
    <w:locked/>
    <w:uiPriority w:val="0"/>
    <w:rPr>
      <w:rFonts w:ascii="Times New Roman" w:hAnsi="Times New Roman" w:eastAsia="宋体"/>
      <w:sz w:val="18"/>
    </w:rPr>
  </w:style>
  <w:style w:type="character" w:customStyle="1" w:styleId="55">
    <w:name w:val="页脚 字符1"/>
    <w:link w:val="18"/>
    <w:qFormat/>
    <w:locked/>
    <w:uiPriority w:val="99"/>
    <w:rPr>
      <w:sz w:val="18"/>
    </w:rPr>
  </w:style>
  <w:style w:type="character" w:customStyle="1" w:styleId="56">
    <w:name w:val="页眉 字符"/>
    <w:link w:val="19"/>
    <w:qFormat/>
    <w:locked/>
    <w:uiPriority w:val="0"/>
    <w:rPr>
      <w:sz w:val="18"/>
    </w:rPr>
  </w:style>
  <w:style w:type="character" w:customStyle="1" w:styleId="57">
    <w:name w:val="普通(网站) 字符"/>
    <w:link w:val="25"/>
    <w:qFormat/>
    <w:locked/>
    <w:uiPriority w:val="0"/>
    <w:rPr>
      <w:rFonts w:ascii="宋体" w:hAnsi="宋体" w:eastAsia="宋体"/>
      <w:sz w:val="24"/>
    </w:rPr>
  </w:style>
  <w:style w:type="character" w:customStyle="1" w:styleId="58">
    <w:name w:val="批注主题 字符"/>
    <w:link w:val="27"/>
    <w:semiHidden/>
    <w:qFormat/>
    <w:locked/>
    <w:uiPriority w:val="0"/>
    <w:rPr>
      <w:rFonts w:ascii="Times New Roman" w:hAnsi="Times New Roman" w:eastAsia="宋体"/>
      <w:b/>
      <w:kern w:val="2"/>
      <w:sz w:val="24"/>
    </w:rPr>
  </w:style>
  <w:style w:type="character" w:customStyle="1" w:styleId="59">
    <w:name w:val="font41"/>
    <w:basedOn w:val="32"/>
    <w:qFormat/>
    <w:uiPriority w:val="0"/>
    <w:rPr>
      <w:rFonts w:hint="eastAsia" w:ascii="宋体" w:hAnsi="宋体" w:eastAsia="宋体" w:cs="宋体"/>
      <w:color w:val="000000"/>
      <w:sz w:val="21"/>
      <w:szCs w:val="21"/>
      <w:u w:val="none"/>
      <w:vertAlign w:val="superscript"/>
    </w:rPr>
  </w:style>
  <w:style w:type="character" w:customStyle="1" w:styleId="60">
    <w:name w:val="日期 字符"/>
    <w:semiHidden/>
    <w:qFormat/>
    <w:uiPriority w:val="0"/>
    <w:rPr>
      <w:rFonts w:ascii="Times New Roman" w:hAnsi="Times New Roman" w:eastAsia="宋体"/>
      <w:sz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正文文本 字符1"/>
    <w:semiHidden/>
    <w:qFormat/>
    <w:uiPriority w:val="0"/>
    <w:rPr>
      <w:rFonts w:ascii="Times New Roman" w:hAnsi="Times New Roman" w:eastAsia="宋体"/>
      <w:sz w:val="24"/>
    </w:rPr>
  </w:style>
  <w:style w:type="character" w:customStyle="1" w:styleId="63">
    <w:name w:val="表格 Char"/>
    <w:link w:val="64"/>
    <w:qFormat/>
    <w:locked/>
    <w:uiPriority w:val="0"/>
    <w:rPr>
      <w:rFonts w:ascii="宋体"/>
      <w:sz w:val="21"/>
    </w:rPr>
  </w:style>
  <w:style w:type="paragraph" w:customStyle="1" w:styleId="64">
    <w:name w:val="表格"/>
    <w:basedOn w:val="25"/>
    <w:next w:val="1"/>
    <w:link w:val="63"/>
    <w:qFormat/>
    <w:uiPriority w:val="0"/>
    <w:pPr>
      <w:adjustRightInd w:val="0"/>
      <w:snapToGrid w:val="0"/>
      <w:spacing w:beforeLines="10" w:afterLines="10" w:line="259" w:lineRule="auto"/>
      <w:jc w:val="center"/>
    </w:pPr>
    <w:rPr>
      <w:rFonts w:ascii="宋体"/>
      <w:kern w:val="0"/>
      <w:szCs w:val="20"/>
    </w:rPr>
  </w:style>
  <w:style w:type="character" w:customStyle="1" w:styleId="65">
    <w:name w:val="font21"/>
    <w:qFormat/>
    <w:uiPriority w:val="0"/>
    <w:rPr>
      <w:rFonts w:hint="eastAsia" w:ascii="宋体" w:hAnsi="宋体" w:eastAsia="宋体" w:cs="宋体"/>
      <w:color w:val="000000"/>
      <w:sz w:val="21"/>
      <w:szCs w:val="21"/>
      <w:u w:val="none"/>
    </w:rPr>
  </w:style>
  <w:style w:type="character" w:customStyle="1" w:styleId="66">
    <w:name w:val="页脚 字符"/>
    <w:qFormat/>
    <w:uiPriority w:val="99"/>
  </w:style>
  <w:style w:type="paragraph" w:customStyle="1" w:styleId="67">
    <w:name w:val="Table Paragraph"/>
    <w:basedOn w:val="1"/>
    <w:qFormat/>
    <w:uiPriority w:val="1"/>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表头、图号"/>
    <w:basedOn w:val="1"/>
    <w:unhideWhenUsed/>
    <w:qFormat/>
    <w:uiPriority w:val="0"/>
    <w:pPr>
      <w:widowControl/>
      <w:spacing w:line="240" w:lineRule="auto"/>
    </w:pPr>
    <w:rPr>
      <w:rFonts w:eastAsia="黑体"/>
      <w:kern w:val="0"/>
    </w:rPr>
  </w:style>
  <w:style w:type="paragraph" w:customStyle="1" w:styleId="71">
    <w:name w:val="表头LLLLLLLL"/>
    <w:basedOn w:val="1"/>
    <w:qFormat/>
    <w:uiPriority w:val="0"/>
    <w:pPr>
      <w:spacing w:line="240" w:lineRule="auto"/>
      <w:ind w:firstLine="482"/>
      <w:jc w:val="center"/>
    </w:pPr>
    <w:rPr>
      <w:rFonts w:eastAsia="黑体"/>
      <w:kern w:val="0"/>
      <w:sz w:val="24"/>
      <w:szCs w:val="20"/>
    </w:rPr>
  </w:style>
  <w:style w:type="paragraph" w:customStyle="1" w:styleId="72">
    <w:name w:val="表头"/>
    <w:basedOn w:val="73"/>
    <w:next w:val="1"/>
    <w:qFormat/>
    <w:uiPriority w:val="0"/>
    <w:pPr>
      <w:ind w:firstLine="460" w:firstLineChars="200"/>
      <w:jc w:val="both"/>
    </w:pPr>
    <w:rPr>
      <w:rFonts w:eastAsia="黑体"/>
      <w:sz w:val="24"/>
      <w:szCs w:val="24"/>
    </w:rPr>
  </w:style>
  <w:style w:type="paragraph" w:customStyle="1" w:styleId="73">
    <w:name w:val="报告表格"/>
    <w:qFormat/>
    <w:uiPriority w:val="0"/>
    <w:pPr>
      <w:widowControl w:val="0"/>
      <w:autoSpaceDE w:val="0"/>
      <w:autoSpaceDN w:val="0"/>
      <w:adjustRightInd w:val="0"/>
      <w:spacing w:before="40" w:after="40"/>
      <w:jc w:val="center"/>
      <w:textAlignment w:val="baseline"/>
    </w:pPr>
    <w:rPr>
      <w:rFonts w:ascii="Times New Roman" w:hAnsi="Times New Roman" w:eastAsia="宋体" w:cs="Times New Roman"/>
      <w:sz w:val="28"/>
      <w:lang w:val="en-US" w:eastAsia="zh-CN" w:bidi="ar-SA"/>
    </w:rPr>
  </w:style>
  <w:style w:type="paragraph" w:customStyle="1" w:styleId="74">
    <w:name w:val="正文LLLLLLL"/>
    <w:basedOn w:val="1"/>
    <w:qFormat/>
    <w:uiPriority w:val="0"/>
    <w:pPr>
      <w:ind w:firstLine="578"/>
    </w:pPr>
    <w:rPr>
      <w:kern w:val="0"/>
      <w:szCs w:val="20"/>
    </w:rPr>
  </w:style>
  <w:style w:type="paragraph" w:customStyle="1" w:styleId="75">
    <w:name w:val="表内文字"/>
    <w:basedOn w:val="1"/>
    <w:qFormat/>
    <w:uiPriority w:val="0"/>
    <w:pPr>
      <w:widowControl/>
      <w:spacing w:line="240" w:lineRule="auto"/>
      <w:jc w:val="center"/>
    </w:pPr>
    <w:rPr>
      <w:kern w:val="0"/>
      <w:szCs w:val="22"/>
    </w:rPr>
  </w:style>
  <w:style w:type="paragraph" w:customStyle="1" w:styleId="76">
    <w:name w:val="表格内容"/>
    <w:basedOn w:val="77"/>
    <w:next w:val="1"/>
    <w:qFormat/>
    <w:uiPriority w:val="0"/>
    <w:pPr>
      <w:spacing w:line="240" w:lineRule="auto"/>
      <w:ind w:firstLine="0" w:firstLineChars="0"/>
      <w:jc w:val="center"/>
    </w:pPr>
    <w:rPr>
      <w:sz w:val="21"/>
    </w:rPr>
  </w:style>
  <w:style w:type="paragraph" w:customStyle="1" w:styleId="77">
    <w:name w:val="Hqf报告表正文"/>
    <w:basedOn w:val="1"/>
    <w:qFormat/>
    <w:uiPriority w:val="0"/>
    <w:pPr>
      <w:ind w:firstLine="460"/>
    </w:pPr>
  </w:style>
  <w:style w:type="paragraph" w:customStyle="1" w:styleId="78">
    <w:name w:val="正文丽娜"/>
    <w:basedOn w:val="1"/>
    <w:qFormat/>
    <w:uiPriority w:val="0"/>
    <w:pPr>
      <w:ind w:firstLine="578"/>
    </w:pPr>
    <w:rPr>
      <w:kern w:val="0"/>
      <w:szCs w:val="20"/>
    </w:rPr>
  </w:style>
  <w:style w:type="paragraph" w:customStyle="1" w:styleId="79">
    <w:name w:val="表内"/>
    <w:basedOn w:val="1"/>
    <w:qFormat/>
    <w:uiPriority w:val="0"/>
    <w:pPr>
      <w:pBdr>
        <w:top w:val="none" w:color="auto" w:sz="0" w:space="1"/>
        <w:left w:val="none" w:color="auto" w:sz="0" w:space="4"/>
        <w:bottom w:val="none" w:color="auto" w:sz="0" w:space="1"/>
        <w:right w:val="none" w:color="auto" w:sz="0" w:space="4"/>
      </w:pBdr>
      <w:jc w:val="center"/>
    </w:pPr>
    <w:rPr>
      <w:szCs w:val="20"/>
    </w:rPr>
  </w:style>
  <w:style w:type="paragraph" w:customStyle="1" w:styleId="80">
    <w:name w:val="cjk"/>
    <w:basedOn w:val="1"/>
    <w:qFormat/>
    <w:uiPriority w:val="0"/>
    <w:pPr>
      <w:jc w:val="left"/>
    </w:pPr>
    <w:rPr>
      <w:rFonts w:hint="eastAsia" w:ascii="宋体" w:hAnsi="宋体"/>
      <w:kern w:val="0"/>
      <w:sz w:val="20"/>
      <w:szCs w:val="20"/>
    </w:rPr>
  </w:style>
  <w:style w:type="paragraph" w:customStyle="1" w:styleId="81">
    <w:name w:val="正文1"/>
    <w:qFormat/>
    <w:uiPriority w:val="0"/>
    <w:pPr>
      <w:adjustRightInd w:val="0"/>
      <w:snapToGrid w:val="0"/>
      <w:spacing w:line="500" w:lineRule="atLeast"/>
      <w:ind w:firstLine="567"/>
    </w:pPr>
    <w:rPr>
      <w:rFonts w:ascii="Times New Roman" w:hAnsi="Times New Roman" w:eastAsia="宋体" w:cs="Times New Roman"/>
      <w:sz w:val="28"/>
      <w:lang w:val="en-US" w:eastAsia="zh-CN" w:bidi="ar-SA"/>
    </w:rPr>
  </w:style>
  <w:style w:type="paragraph" w:customStyle="1" w:styleId="82">
    <w:name w:val="表中文字"/>
    <w:basedOn w:val="1"/>
    <w:qFormat/>
    <w:uiPriority w:val="0"/>
    <w:pPr>
      <w:keepNext/>
      <w:keepLines/>
      <w:spacing w:line="360" w:lineRule="exact"/>
      <w:jc w:val="center"/>
    </w:pPr>
    <w:rPr>
      <w:rFonts w:eastAsia="仿宋_GB2312"/>
      <w:bCs/>
      <w:kern w:val="44"/>
      <w:sz w:val="21"/>
      <w:szCs w:val="44"/>
    </w:rPr>
  </w:style>
  <w:style w:type="paragraph" w:customStyle="1" w:styleId="83">
    <w:name w:val="表格内文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84">
    <w:name w:val="表格001"/>
    <w:qFormat/>
    <w:uiPriority w:val="0"/>
    <w:pPr>
      <w:widowControl w:val="0"/>
      <w:jc w:val="center"/>
    </w:pPr>
    <w:rPr>
      <w:rFonts w:ascii="Times New Roman" w:hAnsi="Times New Roman" w:eastAsia="宋体" w:cs="Times New Roman"/>
      <w:kern w:val="2"/>
      <w:sz w:val="28"/>
      <w:lang w:val="en-US" w:eastAsia="zh-CN" w:bidi="ar-SA"/>
    </w:rPr>
  </w:style>
  <w:style w:type="paragraph" w:customStyle="1" w:styleId="85">
    <w:name w:val="表格文字小五号"/>
    <w:basedOn w:val="1"/>
    <w:qFormat/>
    <w:uiPriority w:val="0"/>
    <w:pPr>
      <w:overflowPunct w:val="0"/>
      <w:adjustRightInd w:val="0"/>
      <w:spacing w:line="240" w:lineRule="atLeast"/>
      <w:ind w:left="210" w:hanging="210"/>
      <w:jc w:val="center"/>
    </w:pPr>
    <w:rPr>
      <w:rFonts w:ascii="宋体"/>
      <w:color w:val="000000"/>
      <w:kern w:val="0"/>
      <w:sz w:val="18"/>
      <w:szCs w:val="20"/>
    </w:rPr>
  </w:style>
  <w:style w:type="character" w:customStyle="1" w:styleId="86">
    <w:name w:val="font01"/>
    <w:basedOn w:val="32"/>
    <w:qFormat/>
    <w:uiPriority w:val="0"/>
    <w:rPr>
      <w:rFonts w:ascii="宋体" w:hAnsi="宋体" w:eastAsia="宋体" w:cs="宋体"/>
      <w:color w:val="000000"/>
      <w:sz w:val="42"/>
      <w:szCs w:val="42"/>
      <w:u w:val="none"/>
    </w:rPr>
  </w:style>
  <w:style w:type="character" w:customStyle="1" w:styleId="87">
    <w:name w:val="font31"/>
    <w:basedOn w:val="32"/>
    <w:qFormat/>
    <w:uiPriority w:val="0"/>
    <w:rPr>
      <w:rFonts w:ascii="Calibri" w:hAnsi="Calibri" w:cs="Calibri"/>
      <w:color w:val="000000"/>
      <w:sz w:val="40"/>
      <w:szCs w:val="40"/>
      <w:u w:val="none"/>
    </w:rPr>
  </w:style>
  <w:style w:type="character" w:customStyle="1" w:styleId="88">
    <w:name w:val="font51"/>
    <w:basedOn w:val="32"/>
    <w:qFormat/>
    <w:uiPriority w:val="0"/>
    <w:rPr>
      <w:rFonts w:hint="default" w:ascii="Arial" w:hAnsi="Arial" w:cs="Arial"/>
      <w:color w:val="000000"/>
      <w:sz w:val="10"/>
      <w:szCs w:val="10"/>
      <w:u w:val="none"/>
    </w:rPr>
  </w:style>
  <w:style w:type="character" w:customStyle="1" w:styleId="89">
    <w:name w:val="font71"/>
    <w:basedOn w:val="32"/>
    <w:qFormat/>
    <w:uiPriority w:val="0"/>
    <w:rPr>
      <w:rFonts w:hint="default" w:ascii="Arial" w:hAnsi="Arial" w:cs="Arial"/>
      <w:color w:val="000000"/>
      <w:sz w:val="12"/>
      <w:szCs w:val="12"/>
      <w:u w:val="none"/>
    </w:rPr>
  </w:style>
  <w:style w:type="character" w:customStyle="1" w:styleId="90">
    <w:name w:val="font61"/>
    <w:basedOn w:val="32"/>
    <w:qFormat/>
    <w:uiPriority w:val="0"/>
    <w:rPr>
      <w:rFonts w:hint="default" w:ascii="Arial" w:hAnsi="Arial" w:cs="Arial"/>
      <w:color w:val="000000"/>
      <w:sz w:val="13"/>
      <w:szCs w:val="13"/>
      <w:u w:val="none"/>
    </w:rPr>
  </w:style>
  <w:style w:type="character" w:customStyle="1" w:styleId="91">
    <w:name w:val="font11"/>
    <w:basedOn w:val="32"/>
    <w:qFormat/>
    <w:uiPriority w:val="0"/>
    <w:rPr>
      <w:rFonts w:ascii="宋体" w:hAnsi="宋体" w:eastAsia="宋体" w:cs="宋体"/>
      <w:color w:val="000000"/>
      <w:sz w:val="42"/>
      <w:szCs w:val="42"/>
      <w:u w:val="none"/>
    </w:rPr>
  </w:style>
  <w:style w:type="character" w:customStyle="1" w:styleId="92">
    <w:name w:val="font81"/>
    <w:basedOn w:val="32"/>
    <w:qFormat/>
    <w:uiPriority w:val="0"/>
    <w:rPr>
      <w:rFonts w:hint="default" w:ascii="Arial" w:hAnsi="Arial" w:cs="Arial"/>
      <w:color w:val="000000"/>
      <w:sz w:val="13"/>
      <w:szCs w:val="13"/>
      <w:u w:val="none"/>
    </w:rPr>
  </w:style>
  <w:style w:type="paragraph" w:customStyle="1" w:styleId="93">
    <w:name w:val="列表段落1"/>
    <w:basedOn w:val="1"/>
    <w:qFormat/>
    <w:uiPriority w:val="34"/>
    <w:pPr>
      <w:ind w:firstLine="420"/>
    </w:pPr>
    <w:rPr>
      <w:rFonts w:ascii="等线" w:hAnsi="等线" w:eastAsia="等线" w:cs="黑体"/>
    </w:rPr>
  </w:style>
  <w:style w:type="paragraph" w:customStyle="1" w:styleId="94">
    <w:name w:val="表内容"/>
    <w:basedOn w:val="1"/>
    <w:qFormat/>
    <w:uiPriority w:val="0"/>
    <w:pPr>
      <w:adjustRightInd w:val="0"/>
      <w:spacing w:line="240" w:lineRule="auto"/>
      <w:ind w:firstLine="0" w:firstLineChars="0"/>
      <w:jc w:val="center"/>
    </w:pPr>
    <w:rPr>
      <w:snapToGrid w:val="0"/>
      <w:kern w:val="0"/>
      <w:sz w:val="21"/>
      <w:szCs w:val="24"/>
    </w:rPr>
  </w:style>
  <w:style w:type="paragraph" w:customStyle="1" w:styleId="95">
    <w:name w:val="首行缩进表格正文"/>
    <w:basedOn w:val="1"/>
    <w:qFormat/>
    <w:uiPriority w:val="0"/>
    <w:pPr>
      <w:spacing w:line="360" w:lineRule="auto"/>
      <w:jc w:val="left"/>
    </w:pPr>
  </w:style>
  <w:style w:type="paragraph" w:customStyle="1" w:styleId="96">
    <w:name w:val="表表头"/>
    <w:basedOn w:val="1"/>
    <w:qFormat/>
    <w:uiPriority w:val="0"/>
    <w:pPr>
      <w:spacing w:line="500" w:lineRule="exact"/>
      <w:ind w:firstLine="0" w:firstLineChars="0"/>
      <w:jc w:val="center"/>
    </w:pPr>
    <w:rPr>
      <w:rFonts w:eastAsia="黑体"/>
    </w:rPr>
  </w:style>
  <w:style w:type="paragraph" w:customStyle="1" w:styleId="97">
    <w:name w:val="雪表文"/>
    <w:basedOn w:val="1"/>
    <w:qFormat/>
    <w:uiPriority w:val="0"/>
    <w:pPr>
      <w:spacing w:line="360" w:lineRule="exact"/>
      <w:ind w:firstLine="0" w:firstLineChars="0"/>
      <w:jc w:val="center"/>
      <w:textAlignment w:val="center"/>
    </w:pPr>
    <w:rPr>
      <w:bCs/>
      <w:iCs/>
      <w:sz w:val="21"/>
    </w:rPr>
  </w:style>
  <w:style w:type="paragraph" w:customStyle="1" w:styleId="98">
    <w:name w:val="111正文的格式"/>
    <w:basedOn w:val="1"/>
    <w:qFormat/>
    <w:uiPriority w:val="0"/>
    <w:pPr>
      <w:adjustRightInd w:val="0"/>
      <w:snapToGrid w:val="0"/>
      <w:spacing w:line="360" w:lineRule="auto"/>
      <w:ind w:firstLine="480"/>
    </w:pPr>
    <w:rPr>
      <w:color w:val="0000FF"/>
      <w:sz w:val="24"/>
    </w:rPr>
  </w:style>
  <w:style w:type="paragraph" w:customStyle="1" w:styleId="99">
    <w:name w:val="表格中文字"/>
    <w:basedOn w:val="100"/>
    <w:qFormat/>
    <w:uiPriority w:val="0"/>
    <w:rPr>
      <w:rFonts w:ascii="Times New Roman" w:hAnsi="Times New Roman"/>
      <w:color w:val="auto"/>
      <w:sz w:val="21"/>
      <w:szCs w:val="21"/>
    </w:rPr>
  </w:style>
  <w:style w:type="paragraph" w:customStyle="1" w:styleId="100">
    <w:name w:val="填表正文"/>
    <w:qFormat/>
    <w:uiPriority w:val="0"/>
    <w:pPr>
      <w:widowControl w:val="0"/>
      <w:adjustRightInd w:val="0"/>
      <w:snapToGrid w:val="0"/>
      <w:jc w:val="center"/>
    </w:pPr>
    <w:rPr>
      <w:rFonts w:hint="eastAsia" w:ascii="宋体" w:hAnsi="Calibri" w:eastAsia="宋体" w:cs="Times New Roman"/>
      <w:color w:val="000000"/>
      <w:sz w:val="24"/>
      <w:szCs w:val="44"/>
      <w:lang w:val="en-US" w:eastAsia="zh-CN" w:bidi="ar-SA"/>
    </w:rPr>
  </w:style>
  <w:style w:type="paragraph" w:customStyle="1" w:styleId="101">
    <w:name w:val="1"/>
    <w:basedOn w:val="13"/>
    <w:next w:val="24"/>
    <w:semiHidden/>
    <w:qFormat/>
    <w:uiPriority w:val="0"/>
    <w:rPr>
      <w:szCs w:val="24"/>
    </w:rPr>
  </w:style>
  <w:style w:type="paragraph" w:customStyle="1" w:styleId="102">
    <w:name w:val="HQF正文"/>
    <w:qFormat/>
    <w:uiPriority w:val="0"/>
    <w:pPr>
      <w:numPr>
        <w:ilvl w:val="0"/>
        <w:numId w:val="2"/>
      </w:numPr>
      <w:autoSpaceDE w:val="0"/>
      <w:autoSpaceDN w:val="0"/>
      <w:adjustRightInd w:val="0"/>
      <w:snapToGrid w:val="0"/>
      <w:spacing w:line="520" w:lineRule="exact"/>
      <w:ind w:firstLine="720" w:firstLineChars="200"/>
      <w:jc w:val="both"/>
    </w:pPr>
    <w:rPr>
      <w:rFonts w:ascii="Times New Roman" w:hAnsi="Times New Roman" w:eastAsia="宋体" w:cs="Times New Roman"/>
      <w:sz w:val="28"/>
      <w:szCs w:val="28"/>
      <w:lang w:val="en-US" w:eastAsia="zh-CN" w:bidi="ar-SA"/>
    </w:rPr>
  </w:style>
  <w:style w:type="paragraph" w:customStyle="1" w:styleId="103">
    <w:name w:val="AONormal"/>
    <w:qFormat/>
    <w:uiPriority w:val="0"/>
    <w:pPr>
      <w:spacing w:line="260" w:lineRule="atLeast"/>
    </w:pPr>
    <w:rPr>
      <w:rFonts w:ascii="Times New Roman" w:hAnsi="Times New Roman" w:eastAsia="宋体" w:cs="Times New Roman"/>
      <w:sz w:val="22"/>
      <w:szCs w:val="22"/>
      <w:lang w:val="en-GB" w:eastAsia="en-US" w:bidi="ar-SA"/>
    </w:rPr>
  </w:style>
  <w:style w:type="table" w:customStyle="1" w:styleId="104">
    <w:name w:val="Table Normal"/>
    <w:semiHidden/>
    <w:unhideWhenUsed/>
    <w:qFormat/>
    <w:uiPriority w:val="0"/>
    <w:tblPr>
      <w:tblCellMar>
        <w:top w:w="0" w:type="dxa"/>
        <w:left w:w="0" w:type="dxa"/>
        <w:bottom w:w="0" w:type="dxa"/>
        <w:right w:w="0" w:type="dxa"/>
      </w:tblCellMar>
    </w:tblPr>
  </w:style>
  <w:style w:type="paragraph" w:customStyle="1" w:styleId="105">
    <w:name w:val="Table Text"/>
    <w:basedOn w:val="1"/>
    <w:semiHidden/>
    <w:qFormat/>
    <w:uiPriority w:val="0"/>
    <w:rPr>
      <w:rFonts w:ascii="宋体" w:hAnsi="宋体" w:cs="宋体"/>
      <w:sz w:val="20"/>
      <w:szCs w:val="20"/>
      <w:lang w:eastAsia="en-US"/>
    </w:rPr>
  </w:style>
  <w:style w:type="paragraph" w:customStyle="1" w:styleId="106">
    <w:name w:val="Body Text First Indent 21"/>
    <w:basedOn w:val="107"/>
    <w:qFormat/>
    <w:uiPriority w:val="0"/>
    <w:pPr>
      <w:ind w:left="0" w:leftChars="0" w:firstLine="420"/>
    </w:pPr>
    <w:rPr>
      <w:rFonts w:ascii="Times New Roman" w:hAnsi="Times New Roman"/>
      <w:szCs w:val="22"/>
    </w:rPr>
  </w:style>
  <w:style w:type="paragraph" w:customStyle="1" w:styleId="107">
    <w:name w:val="Body Text Indent1"/>
    <w:basedOn w:val="1"/>
    <w:qFormat/>
    <w:uiPriority w:val="0"/>
    <w:pPr>
      <w:ind w:left="420" w:leftChars="200"/>
    </w:pPr>
  </w:style>
  <w:style w:type="paragraph" w:customStyle="1" w:styleId="108">
    <w:name w:val="农贸市场正文"/>
    <w:basedOn w:val="109"/>
    <w:qFormat/>
    <w:uiPriority w:val="0"/>
    <w:pPr>
      <w:spacing w:line="360" w:lineRule="auto"/>
      <w:ind w:firstLine="200"/>
    </w:pPr>
    <w:rPr>
      <w:rFonts w:ascii="Times New Roman" w:hAnsi="Times New Roman"/>
      <w:b/>
      <w:snapToGrid w:val="0"/>
      <w:color w:val="000000"/>
      <w:lang w:val="en-US" w:eastAsia="zh-CN"/>
    </w:rPr>
  </w:style>
  <w:style w:type="paragraph" w:customStyle="1" w:styleId="109">
    <w:name w:val="阿拉山口正文"/>
    <w:basedOn w:val="110"/>
    <w:qFormat/>
    <w:uiPriority w:val="0"/>
  </w:style>
  <w:style w:type="paragraph" w:customStyle="1" w:styleId="110">
    <w:name w:val="中石油正文"/>
    <w:basedOn w:val="1"/>
    <w:qFormat/>
    <w:uiPriority w:val="0"/>
    <w:pPr>
      <w:spacing w:line="560" w:lineRule="exact"/>
      <w:ind w:firstLine="480" w:firstLineChars="200"/>
    </w:pPr>
    <w:rPr>
      <w:rFonts w:ascii="宋体" w:hAnsi="宋体"/>
      <w:sz w:val="24"/>
    </w:rPr>
  </w:style>
  <w:style w:type="paragraph" w:customStyle="1" w:styleId="111">
    <w:name w:val="样式 表、图名 + Times New Roman1"/>
    <w:basedOn w:val="112"/>
    <w:qFormat/>
    <w:uiPriority w:val="0"/>
    <w:pPr>
      <w:snapToGrid/>
      <w:spacing w:before="31" w:beforeLines="10" w:after="31" w:afterLines="10" w:line="360" w:lineRule="auto"/>
      <w:ind w:firstLine="200" w:firstLineChars="200"/>
      <w:jc w:val="left"/>
    </w:pPr>
    <w:rPr>
      <w:rFonts w:cs="宋体"/>
      <w:color w:val="000000"/>
    </w:rPr>
  </w:style>
  <w:style w:type="paragraph" w:customStyle="1" w:styleId="112">
    <w:name w:val="表、图名"/>
    <w:basedOn w:val="1"/>
    <w:qFormat/>
    <w:uiPriority w:val="0"/>
    <w:pPr>
      <w:adjustRightInd w:val="0"/>
      <w:snapToGrid w:val="0"/>
      <w:jc w:val="center"/>
    </w:pPr>
    <w:rPr>
      <w:rFonts w:ascii="黑体" w:hAnsi="宋体" w:eastAsia="黑体"/>
      <w:kern w:val="2"/>
      <w:szCs w:val="24"/>
      <w:lang w:eastAsia="zh-CN"/>
    </w:rPr>
  </w:style>
  <w:style w:type="paragraph" w:customStyle="1" w:styleId="113">
    <w:name w:val="中文报告书样式"/>
    <w:basedOn w:val="1"/>
    <w:qFormat/>
    <w:uiPriority w:val="0"/>
    <w:pPr>
      <w:adjustRightInd w:val="0"/>
      <w:spacing w:line="480" w:lineRule="atLeast"/>
      <w:ind w:firstLine="482"/>
      <w:textAlignment w:val="baseline"/>
    </w:pPr>
    <w:rPr>
      <w:kern w:val="24"/>
      <w:sz w:val="24"/>
    </w:rPr>
  </w:style>
  <w:style w:type="paragraph" w:customStyle="1" w:styleId="114">
    <w:name w:val="报告正文"/>
    <w:basedOn w:val="115"/>
    <w:qFormat/>
    <w:uiPriority w:val="0"/>
    <w:pPr>
      <w:widowControl w:val="0"/>
      <w:snapToGrid w:val="0"/>
      <w:spacing w:line="360" w:lineRule="auto"/>
      <w:ind w:firstLine="200" w:firstLineChars="200"/>
    </w:pPr>
    <w:rPr>
      <w:rFonts w:ascii="Times New Roman" w:hAnsi="Times New Roman" w:eastAsia="宋体" w:cs="Times New Roman"/>
      <w:snapToGrid w:val="0"/>
      <w:sz w:val="24"/>
      <w:szCs w:val="24"/>
    </w:rPr>
  </w:style>
  <w:style w:type="paragraph" w:customStyle="1" w:styleId="115">
    <w:name w:val="p17"/>
    <w:basedOn w:val="1"/>
    <w:qFormat/>
    <w:uiPriority w:val="0"/>
    <w:pPr>
      <w:widowControl/>
    </w:pPr>
    <w:rPr>
      <w:rFonts w:ascii="宋体" w:hAnsi="宋体" w:cs="宋体"/>
      <w:kern w:val="0"/>
      <w:szCs w:val="21"/>
    </w:rPr>
  </w:style>
  <w:style w:type="paragraph" w:customStyle="1" w:styleId="116">
    <w:name w:val="样式 首行缩进:  2 字符1"/>
    <w:basedOn w:val="1"/>
    <w:qFormat/>
    <w:uiPriority w:val="0"/>
    <w:pPr>
      <w:adjustRightInd w:val="0"/>
      <w:snapToGrid w:val="0"/>
      <w:spacing w:line="360" w:lineRule="auto"/>
      <w:ind w:firstLine="480" w:firstLineChars="200"/>
    </w:pPr>
    <w:rPr>
      <w:rFonts w:cs="宋体"/>
      <w:sz w:val="24"/>
    </w:rPr>
  </w:style>
  <w:style w:type="character" w:customStyle="1" w:styleId="117">
    <w:name w:val="textbig1"/>
    <w:qFormat/>
    <w:uiPriority w:val="0"/>
    <w:rPr>
      <w:sz w:val="18"/>
      <w:szCs w:val="18"/>
    </w:rPr>
  </w:style>
  <w:style w:type="paragraph" w:customStyle="1" w:styleId="118">
    <w:name w:val="表头标题格式"/>
    <w:basedOn w:val="1"/>
    <w:qFormat/>
    <w:uiPriority w:val="0"/>
    <w:pPr>
      <w:widowControl/>
      <w:tabs>
        <w:tab w:val="left" w:pos="360"/>
        <w:tab w:val="left" w:pos="1620"/>
      </w:tabs>
      <w:spacing w:line="360" w:lineRule="auto"/>
      <w:jc w:val="center"/>
    </w:pPr>
    <w:rPr>
      <w:rFonts w:ascii="黑体" w:hAnsi="宋体" w:eastAsia="黑体"/>
      <w:b/>
      <w:bCs/>
      <w:spacing w:val="0"/>
      <w:kern w:val="0"/>
      <w:sz w:val="24"/>
      <w:szCs w:val="20"/>
    </w:rPr>
  </w:style>
  <w:style w:type="paragraph" w:customStyle="1" w:styleId="119">
    <w:name w:val="表格内容1"/>
    <w:basedOn w:val="1"/>
    <w:qFormat/>
    <w:uiPriority w:val="0"/>
    <w:pPr>
      <w:adjustRightInd w:val="0"/>
      <w:snapToGrid w:val="0"/>
      <w:jc w:val="center"/>
      <w:textAlignment w:val="baseline"/>
    </w:pPr>
    <w:rPr>
      <w:szCs w:val="21"/>
    </w:rPr>
  </w:style>
  <w:style w:type="character" w:customStyle="1" w:styleId="120">
    <w:name w:val="样式 四号"/>
    <w:qFormat/>
    <w:uiPriority w:val="0"/>
    <w:rPr>
      <w:sz w:val="28"/>
    </w:rPr>
  </w:style>
  <w:style w:type="paragraph" w:customStyle="1" w:styleId="121">
    <w:name w:val="段落"/>
    <w:basedOn w:val="1"/>
    <w:qFormat/>
    <w:uiPriority w:val="0"/>
    <w:pPr>
      <w:ind w:firstLine="560" w:firstLineChars="200"/>
    </w:pPr>
    <w:rPr>
      <w:rFonts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wmf"/><Relationship Id="rId26" Type="http://schemas.openxmlformats.org/officeDocument/2006/relationships/oleObject" Target="embeddings/oleObject2.bin"/><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oleObject" Target="embeddings/oleObject1.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"/>
    </extobj>
    <extobj name="ECB019B1-382A-4266-B25C-5B523AA43C14-2">
      <extobjdata type="ECB019B1-382A-4266-B25C-5B523AA43C14" data="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"/>
    </extobj>
    <extobj name="ECB019B1-382A-4266-B25C-5B523AA43C14-3">
      <extobjdata type="ECB019B1-382A-4266-B25C-5B523AA43C14" data="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"/>
    </extobj>
    <extobj name="ECB019B1-382A-4266-B25C-5B523AA43C14-4">
      <extobjdata type="ECB019B1-382A-4266-B25C-5B523AA43C14" data="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62</Pages>
  <Words>12076</Words>
  <Characters>12810</Characters>
  <Lines>344</Lines>
  <Paragraphs>96</Paragraphs>
  <TotalTime>243</TotalTime>
  <ScaleCrop>false</ScaleCrop>
  <LinksUpToDate>false</LinksUpToDate>
  <CharactersWithSpaces>12866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豌豆</cp:lastModifiedBy>
  <cp:lastPrinted>2020-12-29T10:43:00Z</cp:lastPrinted>
  <dcterms:modified xsi:type="dcterms:W3CDTF">2025-03-14T08:24:45Z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442F90E0D89841088F42146DF2D3B7E6_13</vt:lpwstr>
  </property>
  <property fmtid="{D5CDD505-2E9C-101B-9397-08002B2CF9AE}" pid="4" name="KSOTemplateDocerSaveRecord">
    <vt:lpwstr>eyJoZGlkIjoiMjNjYTg2Y2MzYzBjN2Q3YmY5MjIyY2MyN2RkNjgzNWUiLCJ1c2VySWQiOiI5NDkyMDQxMzUifQ==</vt:lpwstr>
  </property>
</Properties>
</file>