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D4D6A3">
      <w:pPr>
        <w:keepNext w:val="0"/>
        <w:keepLines w:val="0"/>
        <w:pageBreakBefore w:val="0"/>
        <w:widowControl w:val="0"/>
        <w:kinsoku/>
        <w:wordWrap/>
        <w:overflowPunct/>
        <w:topLinePunct w:val="0"/>
        <w:autoSpaceDE/>
        <w:autoSpaceDN/>
        <w:bidi w:val="0"/>
        <w:adjustRightInd/>
        <w:snapToGrid/>
        <w:spacing w:line="800" w:lineRule="exact"/>
        <w:textAlignment w:val="auto"/>
        <w:rPr>
          <w:rFonts w:hint="default" w:ascii="Times New Roman" w:hAnsi="Times New Roman" w:eastAsia="仿宋_GB2312" w:cs="Times New Roman"/>
          <w:snapToGrid w:val="0"/>
          <w:color w:val="auto"/>
          <w:kern w:val="0"/>
        </w:rPr>
      </w:pPr>
    </w:p>
    <w:p w14:paraId="26E627C7">
      <w:pPr>
        <w:tabs>
          <w:tab w:val="left" w:pos="8500"/>
        </w:tabs>
        <w:spacing w:line="600" w:lineRule="exact"/>
        <w:jc w:val="center"/>
        <w:rPr>
          <w:rFonts w:hint="default" w:ascii="Times New Roman" w:hAnsi="Times New Roman" w:eastAsia="仿宋_GB2312" w:cs="Times New Roman"/>
          <w:snapToGrid w:val="0"/>
          <w:color w:val="auto"/>
          <w:kern w:val="0"/>
          <w:szCs w:val="32"/>
          <w:highlight w:val="none"/>
        </w:rPr>
      </w:pPr>
      <w:r>
        <w:rPr>
          <w:rFonts w:hint="default" w:ascii="Times New Roman" w:hAnsi="Times New Roman" w:eastAsia="仿宋_GB2312" w:cs="Times New Roman"/>
          <w:snapToGrid w:val="0"/>
          <w:color w:val="auto"/>
          <w:kern w:val="0"/>
          <w:szCs w:val="32"/>
        </w:rPr>
        <w:t xml:space="preserve">                             </w:t>
      </w:r>
      <w:r>
        <w:rPr>
          <w:rFonts w:hint="default" w:ascii="Times New Roman" w:hAnsi="Times New Roman" w:eastAsia="仿宋_GB2312" w:cs="Times New Roman"/>
          <w:snapToGrid w:val="0"/>
          <w:color w:val="auto"/>
          <w:kern w:val="0"/>
          <w:szCs w:val="32"/>
          <w:highlight w:val="none"/>
        </w:rPr>
        <w:t xml:space="preserve">  </w:t>
      </w:r>
      <w:r>
        <w:rPr>
          <w:rFonts w:hint="eastAsia" w:eastAsia="仿宋_GB2312" w:cs="Times New Roman"/>
          <w:snapToGrid w:val="0"/>
          <w:color w:val="auto"/>
          <w:kern w:val="0"/>
          <w:szCs w:val="32"/>
          <w:highlight w:val="none"/>
          <w:lang w:val="en-US" w:eastAsia="zh-CN"/>
        </w:rPr>
        <w:t xml:space="preserve">  </w:t>
      </w:r>
      <w:r>
        <w:rPr>
          <w:rFonts w:hint="default" w:ascii="Times New Roman" w:hAnsi="Times New Roman" w:eastAsia="仿宋_GB2312" w:cs="Times New Roman"/>
          <w:snapToGrid w:val="0"/>
          <w:color w:val="auto"/>
          <w:kern w:val="0"/>
          <w:szCs w:val="32"/>
          <w:highlight w:val="none"/>
        </w:rPr>
        <w:t>师市环审〔202</w:t>
      </w:r>
      <w:r>
        <w:rPr>
          <w:rFonts w:hint="eastAsia" w:eastAsia="仿宋_GB2312" w:cs="Times New Roman"/>
          <w:snapToGrid w:val="0"/>
          <w:color w:val="auto"/>
          <w:kern w:val="0"/>
          <w:szCs w:val="32"/>
          <w:highlight w:val="none"/>
          <w:lang w:val="en-US" w:eastAsia="zh-CN"/>
        </w:rPr>
        <w:t>5</w:t>
      </w:r>
      <w:r>
        <w:rPr>
          <w:rFonts w:hint="default" w:ascii="Times New Roman" w:hAnsi="Times New Roman" w:eastAsia="仿宋_GB2312" w:cs="Times New Roman"/>
          <w:snapToGrid w:val="0"/>
          <w:color w:val="auto"/>
          <w:kern w:val="0"/>
          <w:szCs w:val="32"/>
          <w:highlight w:val="none"/>
        </w:rPr>
        <w:t>〕</w:t>
      </w:r>
      <w:r>
        <w:rPr>
          <w:rFonts w:hint="eastAsia" w:eastAsia="仿宋_GB2312" w:cs="Times New Roman"/>
          <w:snapToGrid w:val="0"/>
          <w:color w:val="auto"/>
          <w:kern w:val="0"/>
          <w:szCs w:val="32"/>
          <w:highlight w:val="none"/>
          <w:lang w:val="en-US" w:eastAsia="zh-CN"/>
        </w:rPr>
        <w:t>6</w:t>
      </w:r>
      <w:r>
        <w:rPr>
          <w:rFonts w:hint="default" w:ascii="Times New Roman" w:hAnsi="Times New Roman" w:eastAsia="仿宋_GB2312" w:cs="Times New Roman"/>
          <w:snapToGrid w:val="0"/>
          <w:color w:val="auto"/>
          <w:kern w:val="0"/>
          <w:szCs w:val="32"/>
          <w:highlight w:val="none"/>
        </w:rPr>
        <w:t>号</w:t>
      </w:r>
    </w:p>
    <w:p w14:paraId="6B20D21A">
      <w:pPr>
        <w:spacing w:line="600" w:lineRule="exact"/>
        <w:rPr>
          <w:rFonts w:hint="default" w:ascii="Times New Roman" w:hAnsi="Times New Roman" w:eastAsia="仿宋_GB2312" w:cs="Times New Roman"/>
          <w:snapToGrid w:val="0"/>
          <w:color w:val="auto"/>
          <w:kern w:val="0"/>
          <w:sz w:val="30"/>
          <w:highlight w:val="none"/>
        </w:rPr>
      </w:pPr>
    </w:p>
    <w:p w14:paraId="1F1CCD2E">
      <w:pPr>
        <w:spacing w:line="600" w:lineRule="exact"/>
        <w:jc w:val="center"/>
        <w:rPr>
          <w:rFonts w:hint="eastAsia" w:ascii="方正小标宋简体" w:hAnsi="方正小标宋简体" w:eastAsia="方正小标宋简体" w:cs="方正小标宋简体"/>
          <w:color w:val="auto"/>
          <w:sz w:val="44"/>
          <w:szCs w:val="44"/>
          <w:highlight w:val="none"/>
          <w:lang w:val="zh-CN"/>
        </w:rPr>
      </w:pPr>
      <w:r>
        <w:rPr>
          <w:rFonts w:hint="default" w:ascii="Times New Roman" w:hAnsi="Times New Roman" w:eastAsia="方正小标宋简体" w:cs="Times New Roman"/>
          <w:color w:val="auto"/>
          <w:sz w:val="44"/>
          <w:szCs w:val="44"/>
          <w:highlight w:val="none"/>
          <w:lang w:val="zh-CN"/>
        </w:rPr>
        <w:t>关</w:t>
      </w:r>
      <w:r>
        <w:rPr>
          <w:rFonts w:hint="eastAsia" w:ascii="方正小标宋简体" w:hAnsi="方正小标宋简体" w:eastAsia="方正小标宋简体" w:cs="方正小标宋简体"/>
          <w:color w:val="auto"/>
          <w:sz w:val="44"/>
          <w:szCs w:val="44"/>
          <w:highlight w:val="none"/>
          <w:lang w:val="zh-CN"/>
        </w:rPr>
        <w:t>于新疆采油厂2024-2026年勘探开发建设</w:t>
      </w:r>
    </w:p>
    <w:p w14:paraId="02290B84">
      <w:pPr>
        <w:spacing w:line="600" w:lineRule="exact"/>
        <w:jc w:val="center"/>
        <w:rPr>
          <w:rFonts w:hint="eastAsia" w:ascii="方正小标宋简体" w:hAnsi="方正小标宋简体" w:eastAsia="方正小标宋简体" w:cs="方正小标宋简体"/>
          <w:color w:val="auto"/>
          <w:sz w:val="44"/>
          <w:szCs w:val="44"/>
          <w:highlight w:val="none"/>
          <w:lang w:val="zh-CN"/>
        </w:rPr>
      </w:pPr>
      <w:r>
        <w:rPr>
          <w:rFonts w:hint="eastAsia" w:ascii="方正小标宋简体" w:hAnsi="方正小标宋简体" w:eastAsia="方正小标宋简体" w:cs="方正小标宋简体"/>
          <w:color w:val="auto"/>
          <w:sz w:val="44"/>
          <w:szCs w:val="44"/>
          <w:highlight w:val="none"/>
          <w:lang w:val="zh-CN"/>
        </w:rPr>
        <w:t>项目（春光油田兵团七师境内）环境影响</w:t>
      </w:r>
    </w:p>
    <w:p w14:paraId="3C068172">
      <w:pPr>
        <w:spacing w:line="600" w:lineRule="exact"/>
        <w:jc w:val="center"/>
        <w:rPr>
          <w:rFonts w:hint="default" w:ascii="Times New Roman" w:hAnsi="Times New Roman" w:eastAsia="仿宋_GB2312" w:cs="Times New Roman"/>
          <w:color w:val="auto"/>
          <w:kern w:val="0"/>
          <w:szCs w:val="32"/>
          <w:highlight w:val="none"/>
        </w:rPr>
      </w:pPr>
      <w:r>
        <w:rPr>
          <w:rFonts w:hint="eastAsia" w:ascii="方正小标宋简体" w:hAnsi="方正小标宋简体" w:eastAsia="方正小标宋简体" w:cs="方正小标宋简体"/>
          <w:color w:val="auto"/>
          <w:sz w:val="44"/>
          <w:szCs w:val="44"/>
          <w:highlight w:val="none"/>
          <w:lang w:val="zh-CN"/>
        </w:rPr>
        <w:t>报告书</w:t>
      </w:r>
      <w:r>
        <w:rPr>
          <w:rFonts w:hint="default" w:ascii="Times New Roman" w:hAnsi="Times New Roman" w:eastAsia="方正小标宋简体" w:cs="Times New Roman"/>
          <w:color w:val="auto"/>
          <w:sz w:val="44"/>
          <w:szCs w:val="44"/>
          <w:highlight w:val="none"/>
          <w:lang w:val="zh-CN"/>
        </w:rPr>
        <w:t>的</w:t>
      </w:r>
      <w:r>
        <w:rPr>
          <w:rFonts w:hint="default" w:ascii="Times New Roman" w:hAnsi="Times New Roman" w:eastAsia="方正小标宋简体" w:cs="Times New Roman"/>
          <w:snapToGrid w:val="0"/>
          <w:color w:val="auto"/>
          <w:kern w:val="0"/>
          <w:sz w:val="44"/>
          <w:szCs w:val="44"/>
          <w:highlight w:val="none"/>
        </w:rPr>
        <w:t>批复</w:t>
      </w:r>
    </w:p>
    <w:p w14:paraId="6E50F409">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kern w:val="0"/>
          <w:szCs w:val="32"/>
          <w:highlight w:val="none"/>
        </w:rPr>
      </w:pPr>
    </w:p>
    <w:p w14:paraId="57D54EFC">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eastAsia="仿宋_GB2312" w:cs="Times New Roman"/>
          <w:color w:val="auto"/>
          <w:kern w:val="0"/>
          <w:szCs w:val="32"/>
          <w:highlight w:val="none"/>
        </w:rPr>
      </w:pPr>
      <w:r>
        <w:rPr>
          <w:rFonts w:hint="default" w:ascii="Times New Roman" w:hAnsi="Times New Roman" w:eastAsia="仿宋_GB2312" w:cs="Times New Roman"/>
          <w:bCs/>
          <w:color w:val="auto"/>
          <w:szCs w:val="32"/>
          <w:highlight w:val="none"/>
        </w:rPr>
        <w:t>中国石油化工股份有限公司河南油田分公司新疆采油厂：</w:t>
      </w:r>
    </w:p>
    <w:p w14:paraId="6CFB247D">
      <w:pPr>
        <w:keepNext w:val="0"/>
        <w:keepLines w:val="0"/>
        <w:pageBreakBefore w:val="0"/>
        <w:widowControl w:val="0"/>
        <w:kinsoku/>
        <w:wordWrap/>
        <w:overflowPunct/>
        <w:topLinePunct w:val="0"/>
        <w:autoSpaceDE/>
        <w:autoSpaceDN/>
        <w:bidi w:val="0"/>
        <w:adjustRightInd/>
        <w:snapToGrid/>
        <w:spacing w:line="500" w:lineRule="exact"/>
        <w:ind w:firstLine="632" w:firstLineChars="200"/>
        <w:textAlignment w:val="auto"/>
        <w:rPr>
          <w:rFonts w:hint="default" w:ascii="Times New Roman" w:hAnsi="Times New Roman" w:eastAsia="仿宋_GB2312" w:cs="Times New Roman"/>
          <w:bCs/>
          <w:snapToGrid w:val="0"/>
          <w:color w:val="auto"/>
          <w:kern w:val="0"/>
          <w:szCs w:val="32"/>
          <w:highlight w:val="none"/>
        </w:rPr>
      </w:pPr>
      <w:r>
        <w:rPr>
          <w:rFonts w:hint="default" w:ascii="Times New Roman" w:hAnsi="Times New Roman" w:eastAsia="仿宋_GB2312" w:cs="Times New Roman"/>
          <w:bCs/>
          <w:color w:val="auto"/>
          <w:szCs w:val="32"/>
          <w:highlight w:val="none"/>
        </w:rPr>
        <w:t>你单位《关于审批</w:t>
      </w:r>
      <w:r>
        <w:rPr>
          <w:rFonts w:hint="default" w:ascii="Times New Roman" w:hAnsi="Times New Roman" w:eastAsia="仿宋_GB2312" w:cs="Times New Roman"/>
          <w:bCs/>
          <w:color w:val="auto"/>
          <w:szCs w:val="32"/>
          <w:highlight w:val="none"/>
          <w:lang w:val="zh-CN"/>
        </w:rPr>
        <w:t>新疆采油厂2024-2026年勘探开发建设项目（春光油田兵团七师境内）环境影响报告书</w:t>
      </w:r>
      <w:r>
        <w:rPr>
          <w:rFonts w:hint="default" w:ascii="Times New Roman" w:hAnsi="Times New Roman" w:eastAsia="仿宋_GB2312" w:cs="Times New Roman"/>
          <w:bCs/>
          <w:color w:val="auto"/>
          <w:szCs w:val="32"/>
          <w:highlight w:val="none"/>
        </w:rPr>
        <w:t>的请示》收悉。经研究，批复如下：</w:t>
      </w:r>
    </w:p>
    <w:p w14:paraId="57757415">
      <w:pPr>
        <w:keepNext w:val="0"/>
        <w:keepLines w:val="0"/>
        <w:pageBreakBefore w:val="0"/>
        <w:widowControl w:val="0"/>
        <w:kinsoku/>
        <w:wordWrap/>
        <w:overflowPunct/>
        <w:topLinePunct w:val="0"/>
        <w:autoSpaceDE/>
        <w:autoSpaceDN/>
        <w:bidi w:val="0"/>
        <w:spacing w:line="500" w:lineRule="exact"/>
        <w:ind w:firstLine="632" w:firstLineChars="200"/>
        <w:textAlignment w:val="auto"/>
        <w:rPr>
          <w:rFonts w:hint="default" w:ascii="Times New Roman" w:hAnsi="Times New Roman" w:eastAsia="仿宋_GB2312" w:cs="Times New Roman"/>
          <w:bCs/>
          <w:color w:val="auto"/>
          <w:szCs w:val="32"/>
          <w:highlight w:val="none"/>
        </w:rPr>
      </w:pPr>
      <w:r>
        <w:rPr>
          <w:rFonts w:hint="default" w:ascii="Times New Roman" w:hAnsi="Times New Roman" w:eastAsia="仿宋_GB2312" w:cs="Times New Roman"/>
          <w:color w:val="auto"/>
          <w:szCs w:val="32"/>
          <w:highlight w:val="none"/>
          <w:lang w:val="en-US" w:eastAsia="zh-CN"/>
        </w:rPr>
        <w:t>一、</w:t>
      </w:r>
      <w:r>
        <w:rPr>
          <w:rFonts w:hint="default" w:ascii="Times New Roman" w:hAnsi="Times New Roman" w:eastAsia="仿宋_GB2312" w:cs="Times New Roman"/>
          <w:color w:val="auto"/>
          <w:szCs w:val="32"/>
          <w:highlight w:val="none"/>
        </w:rPr>
        <w:t>该项目位于</w:t>
      </w:r>
      <w:r>
        <w:rPr>
          <w:rFonts w:hint="default" w:ascii="Times New Roman" w:hAnsi="Times New Roman" w:eastAsia="仿宋_GB2312" w:cs="Times New Roman"/>
          <w:color w:val="auto"/>
          <w:szCs w:val="32"/>
          <w:highlight w:val="none"/>
          <w:lang w:val="zh-CN"/>
        </w:rPr>
        <w:t>第七师129团五五新镇以西约3</w:t>
      </w:r>
      <w:r>
        <w:rPr>
          <w:rFonts w:hint="default" w:ascii="Times New Roman" w:hAnsi="Times New Roman" w:eastAsia="仿宋_GB2312" w:cs="Times New Roman"/>
          <w:color w:val="auto"/>
          <w:szCs w:val="32"/>
          <w:highlight w:val="none"/>
          <w:lang w:val="en-US" w:eastAsia="zh-CN"/>
        </w:rPr>
        <w:t>千米</w:t>
      </w:r>
      <w:r>
        <w:rPr>
          <w:rFonts w:hint="default" w:ascii="Times New Roman" w:hAnsi="Times New Roman" w:eastAsia="仿宋_GB2312" w:cs="Times New Roman"/>
          <w:color w:val="auto"/>
          <w:szCs w:val="32"/>
          <w:highlight w:val="none"/>
        </w:rPr>
        <w:t>，</w:t>
      </w:r>
      <w:r>
        <w:rPr>
          <w:rFonts w:hint="default" w:ascii="Times New Roman" w:hAnsi="Times New Roman" w:eastAsia="仿宋_GB2312" w:cs="Times New Roman"/>
          <w:color w:val="auto"/>
          <w:szCs w:val="32"/>
          <w:highlight w:val="none"/>
          <w:lang w:val="zh-CN"/>
        </w:rPr>
        <w:t>项目中心地理位置坐标为东经84°35'35.48″，北纬44°58'18.27″。</w:t>
      </w:r>
      <w:r>
        <w:rPr>
          <w:rFonts w:hint="eastAsia" w:eastAsia="仿宋_GB2312" w:cs="Times New Roman"/>
          <w:color w:val="auto"/>
          <w:szCs w:val="32"/>
          <w:highlight w:val="none"/>
          <w:lang w:val="en-US" w:eastAsia="zh-CN"/>
        </w:rPr>
        <w:t>项目建设231口井并配套建设油田集输工程、道路及附属设施。其中，部署探井22口，开发井199口，</w:t>
      </w:r>
      <w:r>
        <w:rPr>
          <w:rFonts w:hint="default" w:ascii="Times New Roman" w:hAnsi="Times New Roman" w:eastAsia="仿宋_GB2312" w:cs="Times New Roman"/>
          <w:bCs/>
          <w:color w:val="000000" w:themeColor="text1"/>
          <w:sz w:val="32"/>
          <w:szCs w:val="32"/>
          <w:lang w:val="zh-CN"/>
          <w14:textFill>
            <w14:solidFill>
              <w14:schemeClr w14:val="tx1"/>
            </w14:solidFill>
          </w14:textFill>
        </w:rPr>
        <w:t>利用老井转注水井10口。新建单井集油管线10.2</w:t>
      </w:r>
      <w:r>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t>千米</w:t>
      </w:r>
      <w:r>
        <w:rPr>
          <w:rFonts w:hint="default" w:ascii="Times New Roman" w:hAnsi="Times New Roman" w:eastAsia="仿宋_GB2312" w:cs="Times New Roman"/>
          <w:bCs/>
          <w:color w:val="000000" w:themeColor="text1"/>
          <w:sz w:val="32"/>
          <w:szCs w:val="32"/>
          <w:lang w:val="zh-CN"/>
          <w14:textFill>
            <w14:solidFill>
              <w14:schemeClr w14:val="tx1"/>
            </w14:solidFill>
          </w14:textFill>
        </w:rPr>
        <w:t>，单井掺稀管线10.2</w:t>
      </w:r>
      <w:r>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t>千米</w:t>
      </w:r>
      <w:r>
        <w:rPr>
          <w:rFonts w:hint="default" w:ascii="Times New Roman" w:hAnsi="Times New Roman" w:eastAsia="仿宋_GB2312" w:cs="Times New Roman"/>
          <w:bCs/>
          <w:color w:val="000000" w:themeColor="text1"/>
          <w:sz w:val="32"/>
          <w:szCs w:val="32"/>
          <w:lang w:val="zh-CN"/>
          <w14:textFill>
            <w14:solidFill>
              <w14:schemeClr w14:val="tx1"/>
            </w14:solidFill>
          </w14:textFill>
        </w:rPr>
        <w:t>，注汽管线14</w:t>
      </w:r>
      <w:r>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t>千米</w:t>
      </w:r>
      <w:r>
        <w:rPr>
          <w:rFonts w:hint="default" w:ascii="Times New Roman" w:hAnsi="Times New Roman" w:eastAsia="仿宋_GB2312" w:cs="Times New Roman"/>
          <w:bCs/>
          <w:color w:val="000000" w:themeColor="text1"/>
          <w:sz w:val="32"/>
          <w:szCs w:val="32"/>
          <w:lang w:val="zh-CN"/>
          <w14:textFill>
            <w14:solidFill>
              <w14:schemeClr w14:val="tx1"/>
            </w14:solidFill>
          </w14:textFill>
        </w:rPr>
        <w:t>，回注水管线18</w:t>
      </w:r>
      <w:r>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t>千米</w:t>
      </w:r>
      <w:r>
        <w:rPr>
          <w:rFonts w:hint="eastAsia" w:ascii="Times New Roman" w:hAnsi="Times New Roman" w:eastAsia="仿宋_GB2312" w:cs="Times New Roman"/>
          <w:bCs/>
          <w:color w:val="000000" w:themeColor="text1"/>
          <w:sz w:val="32"/>
          <w:szCs w:val="32"/>
          <w:lang w:val="zh-CN"/>
          <w14:textFill>
            <w14:solidFill>
              <w14:schemeClr w14:val="tx1"/>
            </w14:solidFill>
          </w14:textFill>
        </w:rPr>
        <w:t>；</w:t>
      </w:r>
      <w:r>
        <w:rPr>
          <w:rFonts w:hint="default" w:ascii="Times New Roman" w:hAnsi="Times New Roman" w:eastAsia="仿宋_GB2312" w:cs="Times New Roman"/>
          <w:bCs/>
          <w:color w:val="000000" w:themeColor="text1"/>
          <w:sz w:val="32"/>
          <w:szCs w:val="32"/>
          <w:lang w:val="zh-CN"/>
          <w14:textFill>
            <w14:solidFill>
              <w14:schemeClr w14:val="tx1"/>
            </w14:solidFill>
          </w14:textFill>
        </w:rPr>
        <w:t>新建砂石路22.1</w:t>
      </w:r>
      <w:r>
        <w:rPr>
          <w:rFonts w:hint="default" w:ascii="Times New Roman" w:hAnsi="Times New Roman" w:eastAsia="仿宋_GB2312" w:cs="Times New Roman"/>
          <w:bCs/>
          <w:color w:val="000000" w:themeColor="text1"/>
          <w:sz w:val="32"/>
          <w:szCs w:val="32"/>
          <w:lang w:val="en-US" w:eastAsia="zh-CN"/>
          <w14:textFill>
            <w14:solidFill>
              <w14:schemeClr w14:val="tx1"/>
            </w14:solidFill>
          </w14:textFill>
        </w:rPr>
        <w:t>千米</w:t>
      </w:r>
      <w:r>
        <w:rPr>
          <w:rFonts w:hint="default" w:ascii="Times New Roman" w:hAnsi="Times New Roman" w:eastAsia="仿宋_GB2312" w:cs="Times New Roman"/>
          <w:bCs/>
          <w:color w:val="000000" w:themeColor="text1"/>
          <w:sz w:val="32"/>
          <w:szCs w:val="32"/>
          <w:lang w:val="zh-CN"/>
          <w14:textFill>
            <w14:solidFill>
              <w14:schemeClr w14:val="tx1"/>
            </w14:solidFill>
          </w14:textFill>
        </w:rPr>
        <w:t>，配套建设供配电、仪表控制通信等工程。</w:t>
      </w:r>
      <w:bookmarkStart w:id="0" w:name="OLE_LINK397"/>
      <w:r>
        <w:rPr>
          <w:rFonts w:hint="default" w:ascii="Times New Roman" w:hAnsi="Times New Roman" w:eastAsia="仿宋_GB2312" w:cs="Times New Roman"/>
          <w:bCs/>
          <w:color w:val="auto"/>
          <w:szCs w:val="32"/>
          <w:highlight w:val="none"/>
        </w:rPr>
        <w:t>项目总投资239364.42万元</w:t>
      </w:r>
      <w:bookmarkEnd w:id="0"/>
      <w:r>
        <w:rPr>
          <w:rFonts w:hint="default" w:ascii="Times New Roman" w:hAnsi="Times New Roman" w:eastAsia="仿宋_GB2312" w:cs="Times New Roman"/>
          <w:bCs/>
          <w:color w:val="auto"/>
          <w:szCs w:val="32"/>
          <w:highlight w:val="none"/>
        </w:rPr>
        <w:t>，其中环保投资约4482万元，占总投资的1.87%。</w:t>
      </w:r>
    </w:p>
    <w:p w14:paraId="13F81864">
      <w:pPr>
        <w:keepNext w:val="0"/>
        <w:keepLines w:val="0"/>
        <w:pageBreakBefore w:val="0"/>
        <w:widowControl w:val="0"/>
        <w:numPr>
          <w:ilvl w:val="0"/>
          <w:numId w:val="0"/>
        </w:numPr>
        <w:kinsoku/>
        <w:wordWrap/>
        <w:overflowPunct/>
        <w:topLinePunct w:val="0"/>
        <w:autoSpaceDE/>
        <w:autoSpaceDN/>
        <w:bidi w:val="0"/>
        <w:spacing w:line="500" w:lineRule="exact"/>
        <w:ind w:firstLine="632" w:firstLineChars="200"/>
        <w:textAlignment w:val="auto"/>
        <w:rPr>
          <w:rFonts w:hint="default" w:ascii="Times New Roman" w:hAnsi="Times New Roman" w:eastAsia="仿宋_GB2312" w:cs="Times New Roman"/>
          <w:color w:val="FF0000"/>
          <w:szCs w:val="32"/>
          <w:highlight w:val="none"/>
        </w:rPr>
      </w:pPr>
      <w:r>
        <w:rPr>
          <w:rFonts w:hint="default" w:ascii="Times New Roman" w:hAnsi="Times New Roman" w:eastAsia="仿宋_GB2312" w:cs="Times New Roman"/>
          <w:bCs/>
          <w:color w:val="auto"/>
          <w:szCs w:val="32"/>
          <w:highlight w:val="none"/>
        </w:rPr>
        <w:t>二、</w:t>
      </w:r>
      <w:r>
        <w:rPr>
          <w:rFonts w:hint="default" w:ascii="Times New Roman" w:hAnsi="Times New Roman" w:eastAsia="仿宋_GB2312" w:cs="Times New Roman"/>
          <w:color w:val="auto"/>
          <w:szCs w:val="32"/>
          <w:highlight w:val="none"/>
        </w:rPr>
        <w:t>在全面落实报告</w:t>
      </w:r>
      <w:r>
        <w:rPr>
          <w:rFonts w:hint="eastAsia" w:eastAsia="仿宋_GB2312" w:cs="Times New Roman"/>
          <w:color w:val="auto"/>
          <w:szCs w:val="32"/>
          <w:highlight w:val="none"/>
          <w:lang w:val="en-US" w:eastAsia="zh-CN"/>
        </w:rPr>
        <w:t>书</w:t>
      </w:r>
      <w:r>
        <w:rPr>
          <w:rFonts w:hint="default" w:ascii="Times New Roman" w:hAnsi="Times New Roman" w:eastAsia="仿宋_GB2312" w:cs="Times New Roman"/>
          <w:color w:val="auto"/>
          <w:szCs w:val="32"/>
          <w:highlight w:val="none"/>
        </w:rPr>
        <w:t>提出的各项生态保护和污染防治措施后，项目建设和运营过程中对环境的不利影响能够得到缓解和控制。因此，综合各方面因素，从环境保护角度考虑，我局原则同意你单位按照报告</w:t>
      </w:r>
      <w:r>
        <w:rPr>
          <w:rFonts w:hint="eastAsia" w:eastAsia="仿宋_GB2312" w:cs="Times New Roman"/>
          <w:color w:val="auto"/>
          <w:szCs w:val="32"/>
          <w:highlight w:val="none"/>
          <w:lang w:val="en-US" w:eastAsia="zh-CN"/>
        </w:rPr>
        <w:t>书</w:t>
      </w:r>
      <w:r>
        <w:rPr>
          <w:rFonts w:hint="default" w:ascii="Times New Roman" w:hAnsi="Times New Roman" w:eastAsia="仿宋_GB2312" w:cs="Times New Roman"/>
          <w:color w:val="auto"/>
          <w:szCs w:val="32"/>
          <w:highlight w:val="none"/>
        </w:rPr>
        <w:t>中所列建设项目地点、性质、规模和拟采取的环境保护对策措施进行项目建设。</w:t>
      </w:r>
    </w:p>
    <w:p w14:paraId="24864BC3">
      <w:pPr>
        <w:keepNext w:val="0"/>
        <w:keepLines w:val="0"/>
        <w:pageBreakBefore w:val="0"/>
        <w:widowControl w:val="0"/>
        <w:kinsoku/>
        <w:wordWrap/>
        <w:overflowPunct/>
        <w:topLinePunct w:val="0"/>
        <w:autoSpaceDE/>
        <w:autoSpaceDN/>
        <w:bidi w:val="0"/>
        <w:adjustRightInd/>
        <w:snapToGrid/>
        <w:spacing w:line="500" w:lineRule="exact"/>
        <w:ind w:firstLine="632" w:firstLineChars="200"/>
        <w:textAlignment w:val="auto"/>
        <w:rPr>
          <w:rFonts w:hint="default" w:ascii="Times New Roman" w:hAnsi="Times New Roman" w:eastAsia="仿宋_GB2312" w:cs="Times New Roman"/>
          <w:color w:val="auto"/>
          <w:szCs w:val="32"/>
          <w:highlight w:val="none"/>
        </w:rPr>
      </w:pPr>
      <w:r>
        <w:rPr>
          <w:rFonts w:hint="default" w:ascii="Times New Roman" w:hAnsi="Times New Roman" w:eastAsia="仿宋_GB2312" w:cs="Times New Roman"/>
          <w:color w:val="auto"/>
          <w:szCs w:val="32"/>
          <w:highlight w:val="none"/>
        </w:rPr>
        <w:t>三、项目建设和运营中应重点做好以下工作：</w:t>
      </w:r>
    </w:p>
    <w:p w14:paraId="2D76208B">
      <w:pPr>
        <w:keepNext w:val="0"/>
        <w:keepLines w:val="0"/>
        <w:pageBreakBefore w:val="0"/>
        <w:widowControl w:val="0"/>
        <w:kinsoku/>
        <w:wordWrap/>
        <w:overflowPunct/>
        <w:topLinePunct w:val="0"/>
        <w:autoSpaceDE/>
        <w:autoSpaceDN/>
        <w:bidi w:val="0"/>
        <w:adjustRightInd/>
        <w:snapToGrid/>
        <w:spacing w:line="500" w:lineRule="exact"/>
        <w:ind w:firstLine="632" w:firstLineChars="200"/>
        <w:textAlignment w:val="auto"/>
        <w:rPr>
          <w:rFonts w:hint="eastAsia" w:eastAsia="仿宋_GB2312" w:cs="Times New Roman"/>
          <w:bCs/>
          <w:color w:val="auto"/>
          <w:szCs w:val="32"/>
          <w:highlight w:val="none"/>
          <w:lang w:val="en-US" w:eastAsia="zh-CN"/>
        </w:rPr>
      </w:pPr>
      <w:r>
        <w:rPr>
          <w:rFonts w:hint="default" w:ascii="Times New Roman" w:hAnsi="Times New Roman" w:eastAsia="仿宋_GB2312" w:cs="Times New Roman"/>
          <w:bCs/>
          <w:color w:val="auto"/>
          <w:szCs w:val="32"/>
          <w:highlight w:val="none"/>
        </w:rPr>
        <w:t>（一）严格落实生态保护措施。</w:t>
      </w:r>
      <w:bookmarkStart w:id="1" w:name="_Hlk148007417"/>
      <w:r>
        <w:rPr>
          <w:rFonts w:hint="default" w:ascii="Times New Roman" w:hAnsi="Times New Roman" w:eastAsia="仿宋_GB2312" w:cs="Times New Roman"/>
          <w:bCs/>
          <w:color w:val="auto"/>
          <w:szCs w:val="32"/>
          <w:highlight w:val="none"/>
        </w:rPr>
        <w:t>井场永久占地采用土压实或砾石覆盖以减少风蚀量；定期检查管线，并对受浸土壤回收处理；定时巡查井场，及时清理非正常状况下的落地油，降低土壤污染程度；加强环境保护宣传工作，增强环保意识；日常巡检时控制车速，减少对野生动物的惊扰；严禁捕杀任何野生动物，在油区设置宣传牌。</w:t>
      </w:r>
      <w:bookmarkEnd w:id="1"/>
      <w:r>
        <w:rPr>
          <w:rFonts w:hint="eastAsia" w:eastAsia="仿宋_GB2312" w:cs="Times New Roman"/>
          <w:bCs/>
          <w:color w:val="auto"/>
          <w:szCs w:val="32"/>
          <w:highlight w:val="none"/>
          <w:lang w:val="en-US" w:eastAsia="zh-CN"/>
        </w:rPr>
        <w:t xml:space="preserve">   </w:t>
      </w:r>
    </w:p>
    <w:p w14:paraId="4B27A7CF">
      <w:pPr>
        <w:keepNext w:val="0"/>
        <w:keepLines w:val="0"/>
        <w:pageBreakBefore w:val="0"/>
        <w:widowControl w:val="0"/>
        <w:kinsoku/>
        <w:wordWrap/>
        <w:overflowPunct/>
        <w:topLinePunct w:val="0"/>
        <w:autoSpaceDE/>
        <w:autoSpaceDN/>
        <w:bidi w:val="0"/>
        <w:adjustRightInd/>
        <w:snapToGrid/>
        <w:spacing w:line="500" w:lineRule="exact"/>
        <w:ind w:firstLine="632" w:firstLineChars="200"/>
        <w:textAlignment w:val="auto"/>
        <w:rPr>
          <w:rFonts w:hint="default" w:ascii="Times New Roman" w:hAnsi="Times New Roman" w:eastAsia="仿宋_GB2312" w:cs="Times New Roman"/>
          <w:bCs/>
          <w:color w:val="auto"/>
          <w:szCs w:val="32"/>
          <w:highlight w:val="none"/>
        </w:rPr>
      </w:pPr>
      <w:r>
        <w:rPr>
          <w:rFonts w:hint="default" w:ascii="Times New Roman" w:hAnsi="Times New Roman" w:eastAsia="仿宋_GB2312" w:cs="Times New Roman"/>
          <w:bCs/>
          <w:color w:val="auto"/>
          <w:szCs w:val="32"/>
          <w:highlight w:val="none"/>
        </w:rPr>
        <w:t>（二）严格落实大气污染防治措施。选用质量可靠的设备、仪表、阀门等，井口密封并设紧急截断阀；定期对井场的设备、阀门、管线等检查、检修，防止跑、冒、漏现象发生；做好油井的压力监测及应急准备；加强对密闭管线及密封点的巡检，当检测到泄漏时，对泄漏源予以标识并及时修复；油气集输采用管线密闭集输，偏远井场暂时无法实现管线密闭集输的单井拉油井场高架罐、原油装载应采用底部装载或顶部浸没式装载，井场厂界非甲烷总烃无组织排放浓度</w:t>
      </w:r>
      <w:bookmarkStart w:id="2" w:name="OLE_LINK141"/>
      <w:r>
        <w:rPr>
          <w:rFonts w:hint="eastAsia" w:eastAsia="仿宋_GB2312" w:cs="Times New Roman"/>
          <w:bCs/>
          <w:color w:val="auto"/>
          <w:szCs w:val="32"/>
          <w:highlight w:val="none"/>
          <w:lang w:val="en-US" w:eastAsia="zh-CN"/>
        </w:rPr>
        <w:t>执行</w:t>
      </w:r>
      <w:r>
        <w:rPr>
          <w:rFonts w:hint="default" w:ascii="Times New Roman" w:hAnsi="Times New Roman" w:eastAsia="仿宋_GB2312" w:cs="Times New Roman"/>
          <w:bCs/>
          <w:color w:val="auto"/>
          <w:szCs w:val="32"/>
          <w:highlight w:val="none"/>
        </w:rPr>
        <w:t>《陆上石油天然气开采工业大气污染物排放标准》</w:t>
      </w:r>
      <w:bookmarkEnd w:id="2"/>
      <w:r>
        <w:rPr>
          <w:rFonts w:hint="default" w:ascii="Times New Roman" w:hAnsi="Times New Roman" w:eastAsia="仿宋_GB2312" w:cs="Times New Roman"/>
          <w:bCs/>
          <w:color w:val="auto"/>
          <w:szCs w:val="32"/>
          <w:highlight w:val="none"/>
        </w:rPr>
        <w:t>（GB39728-2020）中企业边界污染物控制要求。</w:t>
      </w:r>
    </w:p>
    <w:p w14:paraId="18B17CC4">
      <w:pPr>
        <w:keepNext w:val="0"/>
        <w:keepLines w:val="0"/>
        <w:pageBreakBefore w:val="0"/>
        <w:widowControl w:val="0"/>
        <w:kinsoku/>
        <w:wordWrap/>
        <w:overflowPunct/>
        <w:topLinePunct w:val="0"/>
        <w:autoSpaceDE/>
        <w:autoSpaceDN/>
        <w:bidi w:val="0"/>
        <w:adjustRightInd/>
        <w:snapToGrid/>
        <w:spacing w:line="500" w:lineRule="exact"/>
        <w:ind w:firstLine="632" w:firstLineChars="200"/>
        <w:textAlignment w:val="auto"/>
        <w:rPr>
          <w:rFonts w:hint="default" w:ascii="Times New Roman" w:hAnsi="Times New Roman" w:cs="Times New Roman"/>
        </w:rPr>
      </w:pPr>
      <w:r>
        <w:rPr>
          <w:rFonts w:hint="default" w:ascii="Times New Roman" w:hAnsi="Times New Roman" w:eastAsia="仿宋_GB2312" w:cs="Times New Roman"/>
          <w:bCs/>
          <w:color w:val="auto"/>
          <w:szCs w:val="32"/>
          <w:highlight w:val="none"/>
        </w:rPr>
        <w:t>（三）落实水污染防治措施。项目井下作业采取带罐作业</w:t>
      </w:r>
      <w:r>
        <w:rPr>
          <w:rFonts w:hint="default" w:ascii="Times New Roman" w:hAnsi="Times New Roman" w:eastAsia="仿宋_GB2312" w:cs="Times New Roman"/>
          <w:bCs/>
          <w:color w:val="auto"/>
          <w:szCs w:val="32"/>
          <w:highlight w:val="none"/>
          <w:lang w:eastAsia="zh-CN"/>
        </w:rPr>
        <w:t>。</w:t>
      </w:r>
      <w:r>
        <w:rPr>
          <w:rFonts w:hint="default" w:ascii="Times New Roman" w:hAnsi="Times New Roman" w:eastAsia="仿宋_GB2312" w:cs="Times New Roman"/>
          <w:bCs/>
          <w:color w:val="auto"/>
          <w:szCs w:val="32"/>
          <w:highlight w:val="none"/>
        </w:rPr>
        <w:t>井下作业废水采用罐车运输，</w:t>
      </w:r>
      <w:r>
        <w:rPr>
          <w:rFonts w:hint="default" w:ascii="Times New Roman" w:hAnsi="Times New Roman" w:eastAsia="仿宋_GB2312" w:cs="Times New Roman"/>
          <w:bCs/>
          <w:color w:val="auto"/>
          <w:szCs w:val="32"/>
          <w:highlight w:val="none"/>
          <w:lang w:val="en-US" w:eastAsia="zh-CN"/>
        </w:rPr>
        <w:t>油藏采出水</w:t>
      </w:r>
      <w:r>
        <w:rPr>
          <w:rFonts w:hint="default" w:ascii="Times New Roman" w:hAnsi="Times New Roman" w:eastAsia="仿宋_GB2312" w:cs="Times New Roman"/>
          <w:bCs/>
          <w:color w:val="auto"/>
          <w:szCs w:val="32"/>
          <w:highlight w:val="none"/>
        </w:rPr>
        <w:t>采用管道</w:t>
      </w:r>
      <w:r>
        <w:rPr>
          <w:rFonts w:hint="default" w:ascii="Times New Roman" w:hAnsi="Times New Roman" w:eastAsia="仿宋_GB2312" w:cs="Times New Roman"/>
          <w:bCs/>
          <w:color w:val="auto"/>
          <w:szCs w:val="32"/>
          <w:highlight w:val="none"/>
          <w:lang w:val="en-US" w:eastAsia="zh-CN"/>
        </w:rPr>
        <w:t>输送</w:t>
      </w:r>
      <w:r>
        <w:rPr>
          <w:rFonts w:hint="default" w:ascii="Times New Roman" w:hAnsi="Times New Roman" w:eastAsia="仿宋_GB2312" w:cs="Times New Roman"/>
          <w:bCs/>
          <w:color w:val="auto"/>
          <w:szCs w:val="32"/>
          <w:highlight w:val="none"/>
        </w:rPr>
        <w:t>，均进入春光联合站污水处理系统处理</w:t>
      </w:r>
      <w:r>
        <w:rPr>
          <w:rFonts w:hint="default" w:ascii="Times New Roman" w:hAnsi="Times New Roman" w:eastAsia="仿宋_GB2312" w:cs="Times New Roman"/>
          <w:bCs/>
          <w:color w:val="auto"/>
          <w:szCs w:val="32"/>
          <w:highlight w:val="none"/>
          <w:lang w:eastAsia="zh-CN"/>
        </w:rPr>
        <w:t>，</w:t>
      </w:r>
      <w:r>
        <w:rPr>
          <w:rFonts w:hint="default" w:ascii="Times New Roman" w:hAnsi="Times New Roman" w:eastAsia="仿宋_GB2312" w:cs="Times New Roman"/>
          <w:bCs/>
          <w:color w:val="auto"/>
          <w:szCs w:val="32"/>
          <w:highlight w:val="none"/>
          <w:lang w:val="en-US" w:eastAsia="zh-CN"/>
        </w:rPr>
        <w:t>达到</w:t>
      </w:r>
      <w:r>
        <w:rPr>
          <w:rFonts w:hint="default" w:ascii="Times New Roman" w:hAnsi="Times New Roman" w:eastAsia="仿宋_GB2312" w:cs="Times New Roman"/>
          <w:bCs/>
          <w:color w:val="auto"/>
          <w:szCs w:val="32"/>
          <w:highlight w:val="none"/>
        </w:rPr>
        <w:t>《碎屑岩油藏注水水质指标技术要求及分析方法》（SY/T5329-2022）</w:t>
      </w:r>
      <w:r>
        <w:rPr>
          <w:rFonts w:hint="eastAsia" w:eastAsia="仿宋_GB2312" w:cs="Times New Roman"/>
          <w:bCs/>
          <w:color w:val="auto"/>
          <w:szCs w:val="32"/>
          <w:highlight w:val="none"/>
          <w:lang w:val="en-US" w:eastAsia="zh-CN"/>
        </w:rPr>
        <w:t>要求</w:t>
      </w:r>
      <w:r>
        <w:rPr>
          <w:rFonts w:hint="default" w:ascii="Times New Roman" w:hAnsi="Times New Roman" w:eastAsia="仿宋_GB2312" w:cs="Times New Roman"/>
          <w:bCs/>
          <w:color w:val="auto"/>
          <w:szCs w:val="32"/>
          <w:highlight w:val="none"/>
          <w:lang w:val="en-US" w:eastAsia="zh-CN"/>
        </w:rPr>
        <w:t>后</w:t>
      </w:r>
      <w:r>
        <w:rPr>
          <w:rFonts w:hint="default" w:ascii="Times New Roman" w:hAnsi="Times New Roman" w:eastAsia="仿宋_GB2312" w:cs="Times New Roman"/>
          <w:bCs/>
          <w:color w:val="auto"/>
          <w:szCs w:val="32"/>
          <w:highlight w:val="none"/>
        </w:rPr>
        <w:t>回注地层。</w:t>
      </w:r>
    </w:p>
    <w:p w14:paraId="6808FA40">
      <w:pPr>
        <w:keepNext w:val="0"/>
        <w:keepLines w:val="0"/>
        <w:pageBreakBefore w:val="0"/>
        <w:widowControl w:val="0"/>
        <w:kinsoku/>
        <w:wordWrap/>
        <w:overflowPunct/>
        <w:topLinePunct w:val="0"/>
        <w:autoSpaceDE/>
        <w:autoSpaceDN/>
        <w:bidi w:val="0"/>
        <w:adjustRightInd w:val="0"/>
        <w:snapToGrid w:val="0"/>
        <w:spacing w:line="500" w:lineRule="exact"/>
        <w:ind w:firstLine="632" w:firstLineChars="200"/>
        <w:textAlignment w:val="auto"/>
        <w:outlineLvl w:val="0"/>
        <w:rPr>
          <w:rFonts w:hint="default" w:ascii="Times New Roman" w:hAnsi="Times New Roman" w:eastAsia="仿宋_GB2312" w:cs="Times New Roman"/>
          <w:bCs/>
          <w:color w:val="auto"/>
          <w:szCs w:val="32"/>
          <w:highlight w:val="none"/>
        </w:rPr>
      </w:pPr>
      <w:r>
        <w:rPr>
          <w:rFonts w:hint="default" w:ascii="Times New Roman" w:hAnsi="Times New Roman" w:eastAsia="仿宋_GB2312" w:cs="Times New Roman"/>
          <w:bCs/>
          <w:color w:val="auto"/>
          <w:szCs w:val="32"/>
          <w:highlight w:val="none"/>
        </w:rPr>
        <w:t>（四）严格落实噪声防治措施。优化井场布置，选择先进可靠的低噪声设备，对噪声较大的设备设置消音设施和隔声设备；加强设备的保养和检查，定期给机泵等设备加润滑油和减振垫。采取以上降噪措施后，厂界噪声排放</w:t>
      </w:r>
      <w:r>
        <w:rPr>
          <w:rFonts w:hint="eastAsia" w:eastAsia="仿宋_GB2312" w:cs="Times New Roman"/>
          <w:bCs/>
          <w:color w:val="auto"/>
          <w:szCs w:val="32"/>
          <w:highlight w:val="none"/>
          <w:lang w:val="en-US" w:eastAsia="zh-CN"/>
        </w:rPr>
        <w:t>执行</w:t>
      </w:r>
      <w:r>
        <w:rPr>
          <w:rFonts w:hint="default" w:ascii="Times New Roman" w:hAnsi="Times New Roman" w:eastAsia="仿宋_GB2312" w:cs="Times New Roman"/>
          <w:bCs/>
          <w:color w:val="auto"/>
          <w:szCs w:val="32"/>
          <w:highlight w:val="none"/>
        </w:rPr>
        <w:t>《工业企业厂界环境噪声排放标准》（GB12348-2008）中2类标准要求。</w:t>
      </w:r>
    </w:p>
    <w:p w14:paraId="0E123113">
      <w:pPr>
        <w:keepNext w:val="0"/>
        <w:keepLines w:val="0"/>
        <w:pageBreakBefore w:val="0"/>
        <w:widowControl w:val="0"/>
        <w:kinsoku/>
        <w:wordWrap/>
        <w:overflowPunct/>
        <w:topLinePunct w:val="0"/>
        <w:autoSpaceDE/>
        <w:autoSpaceDN/>
        <w:bidi w:val="0"/>
        <w:adjustRightInd w:val="0"/>
        <w:snapToGrid w:val="0"/>
        <w:spacing w:line="500" w:lineRule="exact"/>
        <w:ind w:firstLine="632" w:firstLineChars="200"/>
        <w:textAlignment w:val="auto"/>
        <w:rPr>
          <w:rFonts w:hint="default" w:ascii="Times New Roman" w:hAnsi="Times New Roman" w:eastAsia="仿宋_GB2312" w:cs="Times New Roman"/>
          <w:bCs/>
          <w:szCs w:val="32"/>
        </w:rPr>
      </w:pPr>
      <w:r>
        <w:rPr>
          <w:rFonts w:hint="default" w:ascii="Times New Roman" w:hAnsi="Times New Roman" w:eastAsia="仿宋_GB2312" w:cs="Times New Roman"/>
          <w:bCs/>
          <w:color w:val="auto"/>
          <w:szCs w:val="32"/>
          <w:highlight w:val="none"/>
        </w:rPr>
        <w:t>（五）固体废物实施分类管理和妥善处理处置。项目运营期产生的</w:t>
      </w:r>
      <w:r>
        <w:rPr>
          <w:rFonts w:hint="default" w:ascii="Times New Roman" w:hAnsi="Times New Roman" w:eastAsia="仿宋_GB2312" w:cs="Times New Roman"/>
          <w:bCs/>
          <w:color w:val="auto"/>
          <w:szCs w:val="32"/>
          <w:highlight w:val="none"/>
          <w:lang w:val="en-US" w:eastAsia="zh-CN"/>
        </w:rPr>
        <w:t>固体废物主要有油泥（砂）、废防渗膜、落地油和废润滑油</w:t>
      </w:r>
      <w:r>
        <w:rPr>
          <w:rFonts w:hint="eastAsia" w:eastAsia="仿宋_GB2312" w:cs="Times New Roman"/>
          <w:bCs/>
          <w:color w:val="auto"/>
          <w:szCs w:val="32"/>
          <w:highlight w:val="none"/>
          <w:lang w:val="en-US" w:eastAsia="zh-CN"/>
        </w:rPr>
        <w:t>，其中</w:t>
      </w:r>
      <w:r>
        <w:rPr>
          <w:rFonts w:hint="default" w:ascii="Times New Roman" w:hAnsi="Times New Roman" w:eastAsia="仿宋_GB2312" w:cs="Times New Roman"/>
          <w:bCs/>
          <w:color w:val="auto"/>
          <w:szCs w:val="32"/>
          <w:highlight w:val="none"/>
        </w:rPr>
        <w:t>落地原油100%回收</w:t>
      </w:r>
      <w:r>
        <w:rPr>
          <w:rFonts w:hint="eastAsia" w:eastAsia="仿宋_GB2312" w:cs="Times New Roman"/>
          <w:bCs/>
          <w:color w:val="auto"/>
          <w:szCs w:val="32"/>
          <w:highlight w:val="none"/>
          <w:lang w:eastAsia="zh-CN"/>
        </w:rPr>
        <w:t>，</w:t>
      </w:r>
      <w:r>
        <w:rPr>
          <w:rFonts w:hint="default" w:ascii="Times New Roman" w:hAnsi="Times New Roman" w:eastAsia="仿宋_GB2312" w:cs="Times New Roman"/>
          <w:bCs/>
          <w:color w:val="auto"/>
          <w:szCs w:val="32"/>
          <w:highlight w:val="none"/>
        </w:rPr>
        <w:t>废润滑油收集后</w:t>
      </w:r>
      <w:r>
        <w:rPr>
          <w:rFonts w:hint="default" w:ascii="Times New Roman" w:hAnsi="Times New Roman" w:eastAsia="仿宋_GB2312" w:cs="Times New Roman"/>
          <w:bCs/>
          <w:color w:val="auto"/>
          <w:szCs w:val="32"/>
          <w:highlight w:val="none"/>
          <w:lang w:val="en-US" w:eastAsia="zh-CN"/>
        </w:rPr>
        <w:t>送至春光联合站原油处理系统处理</w:t>
      </w:r>
      <w:r>
        <w:rPr>
          <w:rFonts w:hint="default" w:ascii="Times New Roman" w:hAnsi="Times New Roman" w:eastAsia="仿宋_GB2312" w:cs="Times New Roman"/>
          <w:bCs/>
          <w:color w:val="auto"/>
          <w:szCs w:val="32"/>
          <w:highlight w:val="none"/>
        </w:rPr>
        <w:t>。</w:t>
      </w:r>
      <w:r>
        <w:rPr>
          <w:rFonts w:hint="default" w:ascii="Times New Roman" w:hAnsi="Times New Roman" w:eastAsia="仿宋_GB2312" w:cs="Times New Roman"/>
          <w:bCs/>
          <w:color w:val="auto"/>
          <w:szCs w:val="32"/>
          <w:highlight w:val="none"/>
          <w:lang w:val="en-US" w:eastAsia="zh-CN"/>
        </w:rPr>
        <w:t>油泥（砂）、落地油交由有危险废物处置资质的单位处置。</w:t>
      </w:r>
      <w:r>
        <w:rPr>
          <w:rFonts w:hint="default" w:ascii="Times New Roman" w:hAnsi="Times New Roman" w:eastAsia="仿宋_GB2312" w:cs="Times New Roman"/>
          <w:bCs/>
          <w:color w:val="auto"/>
          <w:szCs w:val="32"/>
          <w:highlight w:val="none"/>
        </w:rPr>
        <w:t>危险废物收集、贮存和运输须按照《危险废物收集 贮存 运输技术规范》（HJ2025-2012）和《危险废物转移管理办法》要求进行。</w:t>
      </w:r>
      <w:r>
        <w:rPr>
          <w:rFonts w:hint="default" w:ascii="Times New Roman" w:hAnsi="Times New Roman" w:eastAsia="仿宋_GB2312" w:cs="Times New Roman"/>
          <w:bCs/>
          <w:color w:val="auto"/>
          <w:szCs w:val="32"/>
          <w:highlight w:val="none"/>
          <w:lang w:val="en-US" w:eastAsia="zh-CN"/>
        </w:rPr>
        <w:t>生活垃圾运往128团生活垃圾填埋场填埋处理</w:t>
      </w:r>
      <w:r>
        <w:rPr>
          <w:rFonts w:hint="eastAsia" w:eastAsia="仿宋_GB2312" w:cs="Times New Roman"/>
          <w:bCs/>
          <w:color w:val="auto"/>
          <w:szCs w:val="32"/>
          <w:highlight w:val="none"/>
          <w:lang w:val="en-US" w:eastAsia="zh-CN"/>
        </w:rPr>
        <w:t>。</w:t>
      </w:r>
    </w:p>
    <w:p w14:paraId="5085150B">
      <w:pPr>
        <w:keepNext w:val="0"/>
        <w:keepLines w:val="0"/>
        <w:pageBreakBefore w:val="0"/>
        <w:widowControl w:val="0"/>
        <w:tabs>
          <w:tab w:val="left" w:pos="379"/>
          <w:tab w:val="left" w:pos="844"/>
          <w:tab w:val="left" w:pos="3060"/>
        </w:tabs>
        <w:kinsoku/>
        <w:wordWrap/>
        <w:overflowPunct/>
        <w:topLinePunct w:val="0"/>
        <w:autoSpaceDE/>
        <w:autoSpaceDN/>
        <w:bidi w:val="0"/>
        <w:adjustRightInd/>
        <w:snapToGrid/>
        <w:spacing w:line="500" w:lineRule="exact"/>
        <w:ind w:firstLine="632" w:firstLineChars="200"/>
        <w:textAlignment w:val="auto"/>
        <w:rPr>
          <w:rFonts w:hint="eastAsia" w:eastAsia="仿宋_GB2312" w:cs="Times New Roman"/>
          <w:color w:val="auto"/>
          <w:kern w:val="2"/>
          <w:szCs w:val="32"/>
          <w:highlight w:val="none"/>
          <w:lang w:eastAsia="zh-CN"/>
        </w:rPr>
      </w:pPr>
      <w:r>
        <w:rPr>
          <w:rFonts w:hint="default" w:ascii="Times New Roman" w:hAnsi="Times New Roman" w:eastAsia="仿宋_GB2312" w:cs="Times New Roman"/>
        </w:rPr>
        <w:t>（六）严格落实</w:t>
      </w:r>
      <w:r>
        <w:rPr>
          <w:rFonts w:hint="default" w:ascii="Times New Roman" w:hAnsi="Times New Roman" w:eastAsia="仿宋_GB2312" w:cs="Times New Roman"/>
          <w:lang w:val="en-US" w:eastAsia="zh-CN"/>
        </w:rPr>
        <w:t>地下水及</w:t>
      </w:r>
      <w:r>
        <w:rPr>
          <w:rFonts w:hint="default" w:ascii="Times New Roman" w:hAnsi="Times New Roman" w:eastAsia="仿宋_GB2312" w:cs="Times New Roman"/>
        </w:rPr>
        <w:t>土壤污染防治措施。</w:t>
      </w:r>
      <w:r>
        <w:rPr>
          <w:rFonts w:hint="eastAsia" w:eastAsia="仿宋_GB2312" w:cs="Times New Roman"/>
          <w:bCs/>
          <w:color w:val="auto"/>
          <w:szCs w:val="32"/>
          <w:highlight w:val="none"/>
          <w:lang w:eastAsia="zh-CN"/>
        </w:rPr>
        <w:t>按照源头防控、分区防治、污染监控、应急响应的原则进行地下水污染防治。严格按照导则要求，落实分区防渗和监控措施，</w:t>
      </w:r>
      <w:r>
        <w:rPr>
          <w:rFonts w:hint="eastAsia" w:eastAsia="仿宋_GB2312" w:cs="Times New Roman"/>
          <w:bCs/>
          <w:color w:val="auto"/>
          <w:szCs w:val="32"/>
          <w:highlight w:val="none"/>
          <w:lang w:val="en-US" w:eastAsia="zh-CN"/>
        </w:rPr>
        <w:t>对</w:t>
      </w:r>
      <w:r>
        <w:rPr>
          <w:rFonts w:hint="default" w:ascii="Times New Roman" w:hAnsi="Times New Roman" w:eastAsia="仿宋_GB2312" w:cs="Times New Roman"/>
        </w:rPr>
        <w:t>高架罐区、采油井井口周边、集输管线</w:t>
      </w:r>
      <w:r>
        <w:rPr>
          <w:rFonts w:hint="default" w:ascii="Times New Roman" w:hAnsi="Times New Roman" w:eastAsia="仿宋_GB2312" w:cs="Times New Roman"/>
          <w:color w:val="auto"/>
          <w:kern w:val="2"/>
          <w:szCs w:val="32"/>
          <w:highlight w:val="none"/>
          <w:lang w:eastAsia="zh-CN"/>
        </w:rPr>
        <w:t>等区域进行重点防渗。</w:t>
      </w:r>
      <w:r>
        <w:rPr>
          <w:rFonts w:hint="eastAsia" w:ascii="Times New Roman" w:hAnsi="Times New Roman" w:eastAsia="仿宋_GB2312" w:cs="Times New Roman"/>
          <w:color w:val="auto"/>
          <w:kern w:val="2"/>
          <w:szCs w:val="32"/>
          <w:highlight w:val="none"/>
          <w:lang w:val="en-US" w:eastAsia="zh-CN"/>
        </w:rPr>
        <w:t>对</w:t>
      </w:r>
      <w:r>
        <w:rPr>
          <w:rFonts w:hint="default" w:ascii="Times New Roman" w:hAnsi="Times New Roman" w:eastAsia="仿宋_GB2312" w:cs="Times New Roman"/>
        </w:rPr>
        <w:t>井场电控信一体化撬划</w:t>
      </w:r>
      <w:r>
        <w:rPr>
          <w:rFonts w:hint="default" w:ascii="Times New Roman" w:hAnsi="Times New Roman" w:eastAsia="仿宋_GB2312" w:cs="Times New Roman"/>
          <w:color w:val="auto"/>
          <w:kern w:val="2"/>
          <w:szCs w:val="32"/>
          <w:highlight w:val="none"/>
          <w:lang w:eastAsia="zh-CN"/>
        </w:rPr>
        <w:t>等区域进行</w:t>
      </w:r>
      <w:r>
        <w:rPr>
          <w:rFonts w:hint="default" w:ascii="Times New Roman" w:hAnsi="Times New Roman" w:eastAsia="仿宋_GB2312" w:cs="Times New Roman"/>
        </w:rPr>
        <w:t>一般防渗</w:t>
      </w:r>
      <w:r>
        <w:rPr>
          <w:rFonts w:hint="eastAsia" w:eastAsia="仿宋_GB2312" w:cs="Times New Roman"/>
          <w:lang w:eastAsia="zh-CN"/>
        </w:rPr>
        <w:t>。</w:t>
      </w:r>
      <w:r>
        <w:rPr>
          <w:rFonts w:hint="eastAsia" w:eastAsia="仿宋_GB2312" w:cs="Times New Roman"/>
          <w:color w:val="auto"/>
          <w:kern w:val="2"/>
          <w:szCs w:val="32"/>
          <w:highlight w:val="none"/>
          <w:lang w:eastAsia="zh-CN"/>
        </w:rPr>
        <w:t>加强防渗设施的日常维护，对出现损坏的防渗设施应及时修复和加固，确保防渗设施牢固安全。</w:t>
      </w:r>
    </w:p>
    <w:p w14:paraId="53D7FDE6">
      <w:pPr>
        <w:keepNext w:val="0"/>
        <w:keepLines w:val="0"/>
        <w:pageBreakBefore w:val="0"/>
        <w:widowControl w:val="0"/>
        <w:kinsoku/>
        <w:wordWrap/>
        <w:overflowPunct/>
        <w:topLinePunct w:val="0"/>
        <w:autoSpaceDE/>
        <w:autoSpaceDN/>
        <w:bidi w:val="0"/>
        <w:spacing w:line="500" w:lineRule="exact"/>
        <w:ind w:firstLine="632" w:firstLineChars="200"/>
        <w:textAlignment w:val="auto"/>
        <w:rPr>
          <w:rFonts w:hint="default" w:ascii="Times New Roman" w:hAnsi="Times New Roman" w:eastAsia="仿宋_GB2312" w:cs="Times New Roman"/>
          <w:bCs/>
          <w:color w:val="auto"/>
          <w:szCs w:val="32"/>
          <w:highlight w:val="none"/>
        </w:rPr>
      </w:pPr>
      <w:r>
        <w:rPr>
          <w:rFonts w:hint="default" w:ascii="Times New Roman" w:hAnsi="Times New Roman" w:eastAsia="仿宋_GB2312" w:cs="Times New Roman"/>
          <w:bCs/>
          <w:color w:val="auto"/>
          <w:szCs w:val="32"/>
          <w:highlight w:val="none"/>
        </w:rPr>
        <w:t>（七）加强施工期环境保护，落实防沙治沙措施，防止施工废水、扬尘、噪声污染、水土流失和生态破坏。</w:t>
      </w:r>
    </w:p>
    <w:p w14:paraId="7FCB1D7C">
      <w:pPr>
        <w:keepNext w:val="0"/>
        <w:keepLines w:val="0"/>
        <w:pageBreakBefore w:val="0"/>
        <w:widowControl w:val="0"/>
        <w:tabs>
          <w:tab w:val="left" w:pos="379"/>
          <w:tab w:val="left" w:pos="844"/>
          <w:tab w:val="left" w:pos="3060"/>
        </w:tabs>
        <w:kinsoku/>
        <w:wordWrap/>
        <w:overflowPunct/>
        <w:topLinePunct w:val="0"/>
        <w:autoSpaceDE/>
        <w:autoSpaceDN/>
        <w:bidi w:val="0"/>
        <w:adjustRightInd/>
        <w:snapToGrid/>
        <w:spacing w:line="500" w:lineRule="exact"/>
        <w:ind w:firstLine="632" w:firstLineChars="200"/>
        <w:textAlignment w:val="auto"/>
        <w:rPr>
          <w:rFonts w:hint="default" w:ascii="Times New Roman" w:hAnsi="Times New Roman" w:eastAsia="仿宋_GB2312" w:cs="Times New Roman"/>
          <w:bCs/>
          <w:color w:val="auto"/>
          <w:szCs w:val="32"/>
          <w:highlight w:val="none"/>
        </w:rPr>
      </w:pPr>
      <w:r>
        <w:rPr>
          <w:rFonts w:hint="default" w:ascii="Times New Roman" w:hAnsi="Times New Roman" w:eastAsia="仿宋_GB2312" w:cs="Times New Roman"/>
          <w:bCs/>
          <w:color w:val="auto"/>
          <w:szCs w:val="32"/>
          <w:highlight w:val="none"/>
        </w:rPr>
        <w:t>（</w:t>
      </w:r>
      <w:r>
        <w:rPr>
          <w:rFonts w:hint="eastAsia" w:eastAsia="仿宋_GB2312" w:cs="Times New Roman"/>
          <w:bCs/>
          <w:color w:val="auto"/>
          <w:szCs w:val="32"/>
          <w:highlight w:val="none"/>
          <w:lang w:val="en-US" w:eastAsia="zh-CN"/>
        </w:rPr>
        <w:t>八</w:t>
      </w:r>
      <w:r>
        <w:rPr>
          <w:rFonts w:hint="default" w:ascii="Times New Roman" w:hAnsi="Times New Roman" w:eastAsia="仿宋_GB2312" w:cs="Times New Roman"/>
          <w:bCs/>
          <w:color w:val="auto"/>
          <w:szCs w:val="32"/>
          <w:highlight w:val="none"/>
        </w:rPr>
        <w:t>）强化各项环境风险防范措施，有效防范环境风险。定期开展环境风险应急培训和演练，落实各项应急环境管理措施以及各项风险防范措施，确保风险事故得到有效控制。</w:t>
      </w:r>
    </w:p>
    <w:p w14:paraId="0472AD87">
      <w:pPr>
        <w:keepNext w:val="0"/>
        <w:keepLines w:val="0"/>
        <w:pageBreakBefore w:val="0"/>
        <w:widowControl w:val="0"/>
        <w:kinsoku/>
        <w:wordWrap/>
        <w:overflowPunct/>
        <w:topLinePunct w:val="0"/>
        <w:autoSpaceDE/>
        <w:autoSpaceDN/>
        <w:bidi w:val="0"/>
        <w:spacing w:line="500" w:lineRule="exact"/>
        <w:ind w:firstLine="632" w:firstLineChars="200"/>
        <w:textAlignment w:val="auto"/>
        <w:rPr>
          <w:rFonts w:hint="default" w:ascii="Times New Roman" w:hAnsi="Times New Roman" w:eastAsia="仿宋_GB2312" w:cs="Times New Roman"/>
          <w:bCs/>
          <w:color w:val="auto"/>
          <w:szCs w:val="32"/>
          <w:highlight w:val="none"/>
        </w:rPr>
      </w:pPr>
      <w:r>
        <w:rPr>
          <w:rFonts w:hint="eastAsia" w:eastAsia="仿宋_GB2312" w:cs="Times New Roman"/>
          <w:bCs/>
          <w:color w:val="auto"/>
          <w:szCs w:val="32"/>
          <w:highlight w:val="none"/>
          <w:lang w:eastAsia="zh-CN"/>
        </w:rPr>
        <w:t>（</w:t>
      </w:r>
      <w:r>
        <w:rPr>
          <w:rFonts w:hint="eastAsia" w:eastAsia="仿宋_GB2312" w:cs="Times New Roman"/>
          <w:bCs/>
          <w:color w:val="auto"/>
          <w:szCs w:val="32"/>
          <w:highlight w:val="none"/>
          <w:lang w:val="en-US" w:eastAsia="zh-CN"/>
        </w:rPr>
        <w:t>九</w:t>
      </w:r>
      <w:r>
        <w:rPr>
          <w:rFonts w:hint="eastAsia" w:eastAsia="仿宋_GB2312" w:cs="Times New Roman"/>
          <w:bCs/>
          <w:color w:val="auto"/>
          <w:szCs w:val="32"/>
          <w:highlight w:val="none"/>
          <w:lang w:eastAsia="zh-CN"/>
        </w:rPr>
        <w:t>）</w:t>
      </w:r>
      <w:r>
        <w:rPr>
          <w:rFonts w:hint="default" w:ascii="Times New Roman" w:hAnsi="Times New Roman" w:eastAsia="仿宋_GB2312" w:cs="Times New Roman"/>
          <w:bCs/>
          <w:color w:val="auto"/>
          <w:szCs w:val="32"/>
          <w:highlight w:val="none"/>
        </w:rPr>
        <w:t>在工程运营过程中，应建立畅通的公众参与平台，加强宣传与沟通工作，及时解决公众提出的合理环境诉求。定期发布企业环境信息，并主动接受社会监督。</w:t>
      </w:r>
    </w:p>
    <w:p w14:paraId="1CAAFA9F">
      <w:pPr>
        <w:keepNext w:val="0"/>
        <w:keepLines w:val="0"/>
        <w:pageBreakBefore w:val="0"/>
        <w:widowControl w:val="0"/>
        <w:kinsoku/>
        <w:wordWrap/>
        <w:overflowPunct/>
        <w:topLinePunct w:val="0"/>
        <w:autoSpaceDE/>
        <w:autoSpaceDN/>
        <w:bidi w:val="0"/>
        <w:adjustRightInd/>
        <w:snapToGrid/>
        <w:spacing w:line="500" w:lineRule="exact"/>
        <w:ind w:firstLine="632" w:firstLineChars="200"/>
        <w:textAlignment w:val="auto"/>
        <w:rPr>
          <w:rFonts w:hint="default" w:ascii="Times New Roman" w:hAnsi="Times New Roman" w:eastAsia="仿宋_GB2312" w:cs="Times New Roman"/>
          <w:bCs/>
          <w:color w:val="auto"/>
          <w:szCs w:val="32"/>
          <w:highlight w:val="none"/>
        </w:rPr>
      </w:pPr>
      <w:r>
        <w:rPr>
          <w:rFonts w:hint="default" w:ascii="Times New Roman" w:hAnsi="Times New Roman" w:eastAsia="仿宋_GB2312" w:cs="Times New Roman"/>
          <w:bCs/>
          <w:color w:val="auto"/>
          <w:szCs w:val="32"/>
          <w:highlight w:val="none"/>
        </w:rPr>
        <w:t>四、项目建设必须严格执行配套的环境保护设施与主体工程同时设计、同时施工、同时投产使用的环境保护“三同时”制度。施工招标文件和施工合同招标文件中应明确环保条款和责任，项目竣工后，须按规定程序实施竣工环境保护验收。</w:t>
      </w:r>
    </w:p>
    <w:p w14:paraId="188C3A95">
      <w:pPr>
        <w:keepNext w:val="0"/>
        <w:keepLines w:val="0"/>
        <w:pageBreakBefore w:val="0"/>
        <w:widowControl w:val="0"/>
        <w:kinsoku/>
        <w:wordWrap/>
        <w:overflowPunct/>
        <w:topLinePunct w:val="0"/>
        <w:autoSpaceDE/>
        <w:autoSpaceDN/>
        <w:bidi w:val="0"/>
        <w:adjustRightInd/>
        <w:snapToGrid/>
        <w:spacing w:line="500" w:lineRule="exact"/>
        <w:ind w:firstLine="632" w:firstLineChars="200"/>
        <w:textAlignment w:val="auto"/>
        <w:rPr>
          <w:rFonts w:hint="default" w:ascii="Times New Roman" w:hAnsi="Times New Roman" w:eastAsia="仿宋_GB2312" w:cs="Times New Roman"/>
          <w:bCs/>
          <w:color w:val="auto"/>
          <w:szCs w:val="32"/>
          <w:highlight w:val="none"/>
        </w:rPr>
      </w:pPr>
      <w:r>
        <w:rPr>
          <w:rFonts w:hint="default" w:ascii="Times New Roman" w:hAnsi="Times New Roman" w:eastAsia="仿宋_GB2312" w:cs="Times New Roman"/>
          <w:bCs/>
          <w:color w:val="auto"/>
          <w:szCs w:val="32"/>
          <w:highlight w:val="none"/>
        </w:rPr>
        <w:t>五、环境影响报告</w:t>
      </w:r>
      <w:r>
        <w:rPr>
          <w:rFonts w:hint="eastAsia" w:eastAsia="仿宋_GB2312" w:cs="Times New Roman"/>
          <w:bCs/>
          <w:color w:val="auto"/>
          <w:szCs w:val="32"/>
          <w:highlight w:val="none"/>
          <w:lang w:val="en-US" w:eastAsia="zh-CN"/>
        </w:rPr>
        <w:t>书</w:t>
      </w:r>
      <w:r>
        <w:rPr>
          <w:rFonts w:hint="default" w:ascii="Times New Roman" w:hAnsi="Times New Roman" w:eastAsia="仿宋_GB2312" w:cs="Times New Roman"/>
          <w:bCs/>
          <w:color w:val="auto"/>
          <w:szCs w:val="32"/>
          <w:highlight w:val="none"/>
        </w:rPr>
        <w:t>经批准后，该项目的性质、规模、地点、生产工艺和环境保护措施发生重大变动，且可能导致环境影响显著变化</w:t>
      </w:r>
      <w:r>
        <w:rPr>
          <w:rFonts w:hint="eastAsia" w:eastAsia="仿宋_GB2312" w:cs="Times New Roman"/>
          <w:bCs/>
          <w:color w:val="auto"/>
          <w:szCs w:val="32"/>
          <w:highlight w:val="none"/>
          <w:lang w:eastAsia="zh-CN"/>
        </w:rPr>
        <w:t>（</w:t>
      </w:r>
      <w:r>
        <w:rPr>
          <w:rFonts w:hint="default" w:ascii="Times New Roman" w:hAnsi="Times New Roman" w:eastAsia="仿宋_GB2312" w:cs="Times New Roman"/>
          <w:bCs/>
          <w:color w:val="auto"/>
          <w:szCs w:val="32"/>
          <w:highlight w:val="none"/>
        </w:rPr>
        <w:t>特别是不利环境影响加重</w:t>
      </w:r>
      <w:r>
        <w:rPr>
          <w:rFonts w:hint="eastAsia" w:eastAsia="仿宋_GB2312" w:cs="Times New Roman"/>
          <w:bCs/>
          <w:color w:val="auto"/>
          <w:szCs w:val="32"/>
          <w:highlight w:val="none"/>
          <w:lang w:eastAsia="zh-CN"/>
        </w:rPr>
        <w:t>）</w:t>
      </w:r>
      <w:r>
        <w:rPr>
          <w:rFonts w:hint="default" w:ascii="Times New Roman" w:hAnsi="Times New Roman" w:eastAsia="仿宋_GB2312" w:cs="Times New Roman"/>
          <w:bCs/>
          <w:color w:val="auto"/>
          <w:szCs w:val="32"/>
          <w:highlight w:val="none"/>
        </w:rPr>
        <w:t>的，应当重新报批该项目环境影响评价报告。</w:t>
      </w:r>
    </w:p>
    <w:p w14:paraId="0EE9603E">
      <w:pPr>
        <w:keepNext w:val="0"/>
        <w:keepLines w:val="0"/>
        <w:pageBreakBefore w:val="0"/>
        <w:widowControl w:val="0"/>
        <w:kinsoku/>
        <w:wordWrap/>
        <w:overflowPunct/>
        <w:topLinePunct w:val="0"/>
        <w:autoSpaceDE/>
        <w:autoSpaceDN/>
        <w:bidi w:val="0"/>
        <w:adjustRightInd/>
        <w:snapToGrid/>
        <w:spacing w:line="500" w:lineRule="exact"/>
        <w:ind w:firstLine="632" w:firstLineChars="200"/>
        <w:textAlignment w:val="auto"/>
        <w:rPr>
          <w:rFonts w:hint="default" w:ascii="Times New Roman" w:hAnsi="Times New Roman" w:eastAsia="仿宋_GB2312" w:cs="Times New Roman"/>
          <w:bCs/>
          <w:color w:val="auto"/>
          <w:szCs w:val="32"/>
          <w:highlight w:val="none"/>
        </w:rPr>
      </w:pPr>
      <w:r>
        <w:rPr>
          <w:rFonts w:hint="default" w:ascii="Times New Roman" w:hAnsi="Times New Roman" w:eastAsia="仿宋_GB2312" w:cs="Times New Roman"/>
          <w:bCs/>
          <w:color w:val="auto"/>
          <w:szCs w:val="32"/>
          <w:highlight w:val="none"/>
        </w:rPr>
        <w:t>六、</w:t>
      </w:r>
      <w:r>
        <w:rPr>
          <w:rFonts w:hint="eastAsia" w:eastAsia="仿宋_GB2312" w:cs="Times New Roman"/>
          <w:bCs/>
          <w:color w:val="auto"/>
          <w:szCs w:val="32"/>
          <w:highlight w:val="none"/>
          <w:lang w:val="en-US" w:eastAsia="zh-CN"/>
        </w:rPr>
        <w:t>129</w:t>
      </w:r>
      <w:r>
        <w:rPr>
          <w:rFonts w:hint="default" w:ascii="Times New Roman" w:hAnsi="Times New Roman" w:eastAsia="仿宋_GB2312" w:cs="Times New Roman"/>
          <w:bCs/>
          <w:color w:val="auto"/>
          <w:szCs w:val="32"/>
          <w:highlight w:val="none"/>
        </w:rPr>
        <w:t>团城镇和生态保护中心要切实承担事中事后监管主要责任，履行属地监管职责，按照《关于进一步完善建设项目环境保护“三同时”及竣工环境保护自主验收监管工作机制的意见》（环执法〔2021〕70号）要求，加强对该项目环境保护“三同时”及自主验收监管。</w:t>
      </w:r>
    </w:p>
    <w:p w14:paraId="42B7FE34">
      <w:pPr>
        <w:keepNext w:val="0"/>
        <w:keepLines w:val="0"/>
        <w:pageBreakBefore w:val="0"/>
        <w:widowControl w:val="0"/>
        <w:kinsoku/>
        <w:wordWrap/>
        <w:overflowPunct/>
        <w:topLinePunct w:val="0"/>
        <w:autoSpaceDE/>
        <w:autoSpaceDN/>
        <w:bidi w:val="0"/>
        <w:adjustRightInd/>
        <w:snapToGrid/>
        <w:spacing w:line="500" w:lineRule="exact"/>
        <w:ind w:firstLine="632" w:firstLineChars="200"/>
        <w:textAlignment w:val="auto"/>
        <w:rPr>
          <w:rFonts w:hint="default" w:ascii="Times New Roman" w:hAnsi="Times New Roman" w:eastAsia="仿宋_GB2312" w:cs="Times New Roman"/>
          <w:bCs/>
          <w:color w:val="auto"/>
          <w:szCs w:val="32"/>
          <w:highlight w:val="none"/>
        </w:rPr>
      </w:pPr>
      <w:r>
        <w:rPr>
          <w:rFonts w:hint="default" w:ascii="Times New Roman" w:hAnsi="Times New Roman" w:eastAsia="仿宋_GB2312" w:cs="Times New Roman"/>
          <w:bCs/>
          <w:color w:val="auto"/>
          <w:szCs w:val="32"/>
          <w:highlight w:val="none"/>
        </w:rPr>
        <w:t>七、我局委托师市生态环境保护综合行政执法支队负责该项目的事中事后监管，生态环境监测站按职责开展相关监管工作，我局负责对“三同时”及自主验收监管工作的监督指导。你单位应在接到本批复后20个工作日内，将批准后的环境影响报告</w:t>
      </w:r>
      <w:r>
        <w:rPr>
          <w:rFonts w:hint="eastAsia" w:eastAsia="仿宋_GB2312" w:cs="Times New Roman"/>
          <w:bCs/>
          <w:color w:val="auto"/>
          <w:szCs w:val="32"/>
          <w:highlight w:val="none"/>
          <w:lang w:val="en-US" w:eastAsia="zh-CN"/>
        </w:rPr>
        <w:t>书</w:t>
      </w:r>
      <w:r>
        <w:rPr>
          <w:rFonts w:hint="default" w:ascii="Times New Roman" w:hAnsi="Times New Roman" w:eastAsia="仿宋_GB2312" w:cs="Times New Roman"/>
          <w:bCs/>
          <w:color w:val="auto"/>
          <w:szCs w:val="32"/>
          <w:highlight w:val="none"/>
        </w:rPr>
        <w:t>送师市生态环境保护综合行政执法支队、生态环境监测站、</w:t>
      </w:r>
      <w:r>
        <w:rPr>
          <w:rFonts w:hint="eastAsia" w:eastAsia="仿宋_GB2312" w:cs="Times New Roman"/>
          <w:bCs/>
          <w:sz w:val="32"/>
          <w:szCs w:val="32"/>
          <w:lang w:val="en-US" w:eastAsia="zh-CN"/>
        </w:rPr>
        <w:t>129</w:t>
      </w:r>
      <w:r>
        <w:rPr>
          <w:rFonts w:hint="default" w:ascii="Times New Roman" w:hAnsi="Times New Roman" w:eastAsia="仿宋_GB2312" w:cs="Times New Roman"/>
          <w:bCs/>
          <w:sz w:val="32"/>
          <w:szCs w:val="32"/>
        </w:rPr>
        <w:t>团城镇和生态保护中心</w:t>
      </w:r>
      <w:r>
        <w:rPr>
          <w:rFonts w:hint="default" w:ascii="Times New Roman" w:hAnsi="Times New Roman" w:eastAsia="仿宋_GB2312" w:cs="Times New Roman"/>
          <w:bCs/>
          <w:color w:val="auto"/>
          <w:szCs w:val="32"/>
          <w:highlight w:val="none"/>
        </w:rPr>
        <w:t>，并按规定接受各级生态环境主管部门的监督检查。</w:t>
      </w:r>
    </w:p>
    <w:p w14:paraId="424FC8EB">
      <w:pPr>
        <w:keepNext w:val="0"/>
        <w:keepLines w:val="0"/>
        <w:pageBreakBefore w:val="0"/>
        <w:widowControl w:val="0"/>
        <w:kinsoku/>
        <w:wordWrap/>
        <w:overflowPunct/>
        <w:topLinePunct w:val="0"/>
        <w:autoSpaceDE/>
        <w:autoSpaceDN/>
        <w:bidi w:val="0"/>
        <w:adjustRightInd/>
        <w:snapToGrid/>
        <w:spacing w:line="740" w:lineRule="exact"/>
        <w:ind w:firstLine="4740" w:firstLineChars="1500"/>
        <w:textAlignment w:val="auto"/>
        <w:rPr>
          <w:rFonts w:hint="default" w:ascii="Times New Roman" w:hAnsi="Times New Roman" w:eastAsia="仿宋_GB2312" w:cs="Times New Roman"/>
          <w:bCs/>
          <w:color w:val="auto"/>
          <w:szCs w:val="32"/>
          <w:highlight w:val="none"/>
        </w:rPr>
      </w:pPr>
    </w:p>
    <w:p w14:paraId="3023250D">
      <w:pPr>
        <w:keepNext w:val="0"/>
        <w:keepLines w:val="0"/>
        <w:pageBreakBefore w:val="0"/>
        <w:widowControl w:val="0"/>
        <w:kinsoku/>
        <w:wordWrap/>
        <w:overflowPunct/>
        <w:topLinePunct w:val="0"/>
        <w:autoSpaceDE/>
        <w:autoSpaceDN/>
        <w:bidi w:val="0"/>
        <w:adjustRightInd/>
        <w:snapToGrid/>
        <w:spacing w:line="740" w:lineRule="exact"/>
        <w:ind w:firstLine="4740" w:firstLineChars="1500"/>
        <w:textAlignment w:val="auto"/>
        <w:rPr>
          <w:rFonts w:hint="default" w:ascii="Times New Roman" w:hAnsi="Times New Roman" w:eastAsia="仿宋_GB2312" w:cs="Times New Roman"/>
          <w:bCs/>
          <w:color w:val="auto"/>
          <w:szCs w:val="32"/>
          <w:highlight w:val="none"/>
        </w:rPr>
      </w:pPr>
    </w:p>
    <w:p w14:paraId="1D8E3DEA">
      <w:pPr>
        <w:keepNext w:val="0"/>
        <w:keepLines w:val="0"/>
        <w:pageBreakBefore w:val="0"/>
        <w:widowControl w:val="0"/>
        <w:kinsoku/>
        <w:wordWrap/>
        <w:overflowPunct/>
        <w:topLinePunct w:val="0"/>
        <w:autoSpaceDE/>
        <w:autoSpaceDN/>
        <w:bidi w:val="0"/>
        <w:adjustRightInd/>
        <w:snapToGrid/>
        <w:spacing w:line="400" w:lineRule="exact"/>
        <w:ind w:firstLine="4740" w:firstLineChars="1500"/>
        <w:textAlignment w:val="auto"/>
        <w:rPr>
          <w:rFonts w:hint="default" w:ascii="Times New Roman" w:hAnsi="Times New Roman" w:eastAsia="仿宋_GB2312" w:cs="Times New Roman"/>
          <w:bCs/>
          <w:color w:val="auto"/>
          <w:szCs w:val="32"/>
          <w:highlight w:val="none"/>
        </w:rPr>
      </w:pPr>
      <w:r>
        <w:rPr>
          <w:rFonts w:hint="default" w:ascii="Times New Roman" w:hAnsi="Times New Roman" w:eastAsia="仿宋_GB2312" w:cs="Times New Roman"/>
          <w:bCs/>
          <w:color w:val="auto"/>
          <w:szCs w:val="32"/>
          <w:highlight w:val="none"/>
        </w:rPr>
        <w:t xml:space="preserve">第七师胡杨河市生态环境局 </w:t>
      </w:r>
    </w:p>
    <w:p w14:paraId="2E04CA34">
      <w:pPr>
        <w:keepNext w:val="0"/>
        <w:keepLines w:val="0"/>
        <w:pageBreakBefore w:val="0"/>
        <w:widowControl w:val="0"/>
        <w:kinsoku/>
        <w:wordWrap/>
        <w:overflowPunct/>
        <w:topLinePunct w:val="0"/>
        <w:autoSpaceDE/>
        <w:autoSpaceDN/>
        <w:bidi w:val="0"/>
        <w:adjustRightInd/>
        <w:snapToGrid/>
        <w:spacing w:line="400" w:lineRule="exact"/>
        <w:ind w:firstLine="5372" w:firstLineChars="1700"/>
        <w:textAlignment w:val="auto"/>
        <w:rPr>
          <w:rFonts w:hint="default" w:ascii="Times New Roman" w:hAnsi="Times New Roman" w:eastAsia="仿宋_GB2312" w:cs="Times New Roman"/>
          <w:color w:val="auto"/>
          <w:sz w:val="28"/>
          <w:szCs w:val="28"/>
        </w:rPr>
      </w:pPr>
      <w:r>
        <w:rPr>
          <w:rFonts w:hint="default" w:ascii="Times New Roman" w:hAnsi="Times New Roman" w:eastAsia="仿宋_GB2312" w:cs="Times New Roman"/>
          <w:bCs/>
          <w:color w:val="auto"/>
          <w:szCs w:val="32"/>
          <w:highlight w:val="none"/>
        </w:rPr>
        <w:t>202</w:t>
      </w:r>
      <w:r>
        <w:rPr>
          <w:rFonts w:hint="eastAsia" w:eastAsia="仿宋_GB2312" w:cs="Times New Roman"/>
          <w:bCs/>
          <w:color w:val="auto"/>
          <w:szCs w:val="32"/>
          <w:highlight w:val="none"/>
          <w:lang w:val="en-US" w:eastAsia="zh-CN"/>
        </w:rPr>
        <w:t>5</w:t>
      </w:r>
      <w:r>
        <w:rPr>
          <w:rFonts w:hint="default" w:ascii="Times New Roman" w:hAnsi="Times New Roman" w:eastAsia="仿宋_GB2312" w:cs="Times New Roman"/>
          <w:bCs/>
          <w:color w:val="auto"/>
          <w:szCs w:val="32"/>
          <w:highlight w:val="none"/>
        </w:rPr>
        <w:t>年</w:t>
      </w:r>
      <w:r>
        <w:rPr>
          <w:rFonts w:hint="eastAsia" w:eastAsia="仿宋_GB2312" w:cs="Times New Roman"/>
          <w:bCs/>
          <w:color w:val="auto"/>
          <w:szCs w:val="32"/>
          <w:highlight w:val="none"/>
          <w:lang w:val="en-US" w:eastAsia="zh-CN"/>
        </w:rPr>
        <w:t>2</w:t>
      </w:r>
      <w:r>
        <w:rPr>
          <w:rFonts w:hint="default" w:ascii="Times New Roman" w:hAnsi="Times New Roman" w:eastAsia="仿宋_GB2312" w:cs="Times New Roman"/>
          <w:bCs/>
          <w:color w:val="auto"/>
          <w:szCs w:val="32"/>
          <w:highlight w:val="none"/>
        </w:rPr>
        <w:t>月</w:t>
      </w:r>
      <w:r>
        <w:rPr>
          <w:rFonts w:hint="eastAsia" w:eastAsia="仿宋_GB2312" w:cs="Times New Roman"/>
          <w:bCs/>
          <w:color w:val="auto"/>
          <w:szCs w:val="32"/>
          <w:highlight w:val="none"/>
          <w:lang w:val="en-US" w:eastAsia="zh-CN"/>
        </w:rPr>
        <w:t>28</w:t>
      </w:r>
      <w:r>
        <w:rPr>
          <w:rFonts w:hint="default" w:ascii="Times New Roman" w:hAnsi="Times New Roman" w:eastAsia="仿宋_GB2312" w:cs="Times New Roman"/>
          <w:bCs/>
          <w:color w:val="auto"/>
          <w:szCs w:val="32"/>
          <w:highlight w:val="none"/>
        </w:rPr>
        <w:t>日</w:t>
      </w:r>
      <w:bookmarkStart w:id="3" w:name="_GoBack"/>
      <w:bookmarkEnd w:id="3"/>
    </w:p>
    <w:p w14:paraId="7CE41434">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p>
    <w:p w14:paraId="3CEECA2F">
      <w:pPr>
        <w:spacing w:line="400" w:lineRule="exact"/>
        <w:ind w:left="1102" w:leftChars="87" w:right="316" w:rightChars="100" w:hanging="828" w:hangingChars="300"/>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577840" cy="25400"/>
                <wp:effectExtent l="0" t="9525" r="3810" b="22225"/>
                <wp:wrapNone/>
                <wp:docPr id="1" name="直接连接符 1"/>
                <wp:cNvGraphicFramePr/>
                <a:graphic xmlns:a="http://schemas.openxmlformats.org/drawingml/2006/main">
                  <a:graphicData uri="http://schemas.microsoft.com/office/word/2010/wordprocessingShape">
                    <wps:wsp>
                      <wps:cNvCnPr/>
                      <wps:spPr>
                        <a:xfrm>
                          <a:off x="0" y="0"/>
                          <a:ext cx="5577840" cy="25400"/>
                        </a:xfrm>
                        <a:prstGeom prst="line">
                          <a:avLst/>
                        </a:prstGeom>
                        <a:ln w="19050"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pt;margin-top:0pt;height:2pt;width:439.2pt;z-index:251660288;mso-width-relative:page;mso-height-relative:page;" filled="f" stroked="t" coordsize="21600,21600" o:gfxdata="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hK2OaNIAAAADAQAADwAAAAAAAAABACAAAAAiAAAAZHJzL2Rvd25yZXYueG1s&#10;UEsBAhQAFAAAAAgAh07iQNMz1hX+AQAA9wMAAA4AAAAAAAAAAQAgAAAAIQEAAGRycy9lMm9Eb2Mu&#10;eG1sUEsFBgAAAAAGAAYAWQEAAJEFAAAAAA==&#10;">
                <v:fill on="f" focussize="0,0"/>
                <v:stroke weight="1.5pt" color="#000000" joinstyle="round"/>
                <v:imagedata o:title=""/>
                <o:lock v:ext="edit" aspectratio="f"/>
              </v:line>
            </w:pict>
          </mc:Fallback>
        </mc:AlternateContent>
      </w:r>
      <w:r>
        <w:rPr>
          <w:rFonts w:hint="default" w:ascii="Times New Roman" w:hAnsi="Times New Roman" w:eastAsia="仿宋_GB2312" w:cs="Times New Roman"/>
          <w:color w:val="auto"/>
          <w:sz w:val="28"/>
          <w:szCs w:val="28"/>
        </w:rPr>
        <w:t>抄送：师市生态环境保护综合行政执法支队、生态环境监测站、1</w:t>
      </w:r>
      <w:r>
        <w:rPr>
          <w:rFonts w:hint="eastAsia" w:eastAsia="仿宋_GB2312" w:cs="Times New Roman"/>
          <w:color w:val="auto"/>
          <w:sz w:val="28"/>
          <w:szCs w:val="28"/>
          <w:lang w:val="en-US" w:eastAsia="zh-CN"/>
        </w:rPr>
        <w:t>29</w:t>
      </w:r>
      <w:r>
        <w:rPr>
          <w:rFonts w:hint="default" w:ascii="Times New Roman" w:hAnsi="Times New Roman" w:eastAsia="仿宋_GB2312" w:cs="Times New Roman"/>
          <w:color w:val="auto"/>
          <w:sz w:val="28"/>
          <w:szCs w:val="28"/>
        </w:rPr>
        <w:t>团城镇和生态保护中心。</w:t>
      </w:r>
    </w:p>
    <w:p w14:paraId="23418F4F">
      <w:pPr>
        <w:spacing w:line="600" w:lineRule="exact"/>
        <w:ind w:right="316" w:rightChars="100" w:firstLine="254" w:firstLineChars="100"/>
        <w:rPr>
          <w:rFonts w:hint="default" w:ascii="Times New Roman" w:hAnsi="Times New Roman" w:eastAsia="仿宋_GB2312" w:cs="Times New Roman"/>
          <w:bCs/>
          <w:color w:val="auto"/>
          <w:szCs w:val="32"/>
          <w:highlight w:val="none"/>
        </w:rPr>
      </w:pPr>
      <w:r>
        <w:rPr>
          <w:rFonts w:hint="default" w:ascii="Times New Roman" w:hAnsi="Times New Roman" w:eastAsia="仿宋_GB2312" w:cs="Times New Roman"/>
          <w:color w:val="auto"/>
          <w:spacing w:val="-11"/>
          <w:sz w:val="28"/>
          <w:szCs w:val="28"/>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382270</wp:posOffset>
                </wp:positionV>
                <wp:extent cx="5615940" cy="1905"/>
                <wp:effectExtent l="0" t="0" r="0" b="0"/>
                <wp:wrapNone/>
                <wp:docPr id="2" name="直接连接符 2"/>
                <wp:cNvGraphicFramePr/>
                <a:graphic xmlns:a="http://schemas.openxmlformats.org/drawingml/2006/main">
                  <a:graphicData uri="http://schemas.microsoft.com/office/word/2010/wordprocessingShape">
                    <wps:wsp>
                      <wps:cNvCnPr/>
                      <wps:spPr>
                        <a:xfrm>
                          <a:off x="0" y="0"/>
                          <a:ext cx="5615940" cy="1905"/>
                        </a:xfrm>
                        <a:prstGeom prst="line">
                          <a:avLst/>
                        </a:prstGeom>
                        <a:ln w="19050"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pt;margin-top:30.1pt;height:0.15pt;width:442.2pt;z-index:251661312;mso-width-relative:page;mso-height-relative:page;" filled="f" stroked="t" coordsize="21600,21600" o:gfxdata="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5uTPV1AAAAAYBAAAPAAAAAAAAAAEAIAAAACIAAABkcnMvZG93bnJldi54bWxQSwEC&#10;FAAUAAAACACHTuJAHiSEh/gBAAD2AwAADgAAAAAAAAABACAAAAAjAQAAZHJzL2Uyb0RvYy54bWxQ&#10;SwUGAAAAAAYABgBZAQAAjQUAAAAA&#10;">
                <v:fill on="f" focussize="0,0"/>
                <v:stroke weight="1.5pt" color="#000000" joinstyle="round"/>
                <v:imagedata o:title=""/>
                <o:lock v:ext="edit" aspectratio="f"/>
              </v:line>
            </w:pict>
          </mc:Fallback>
        </mc:AlternateContent>
      </w:r>
      <w:r>
        <w:rPr>
          <w:rFonts w:hint="default" w:ascii="Times New Roman" w:hAnsi="Times New Roman" w:eastAsia="仿宋_GB2312" w:cs="Times New Roman"/>
          <w:color w:val="auto"/>
          <w:spacing w:val="-11"/>
          <w:sz w:val="28"/>
          <w:szCs w:val="28"/>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-6350</wp:posOffset>
                </wp:positionV>
                <wp:extent cx="5577840" cy="6350"/>
                <wp:effectExtent l="0" t="0" r="0" b="0"/>
                <wp:wrapNone/>
                <wp:docPr id="3" name="直接连接符 3"/>
                <wp:cNvGraphicFramePr/>
                <a:graphic xmlns:a="http://schemas.openxmlformats.org/drawingml/2006/main">
                  <a:graphicData uri="http://schemas.microsoft.com/office/word/2010/wordprocessingShape">
                    <wps:wsp>
                      <wps:cNvCnPr/>
                      <wps:spPr>
                        <a:xfrm flipV="1">
                          <a:off x="0" y="0"/>
                          <a:ext cx="5577840" cy="635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flip:y;margin-left:0pt;margin-top:-0.5pt;height:0.5pt;width:439.2pt;z-index:251661312;mso-width-relative:page;mso-height-relative:page;" filled="f" stroked="t" coordsize="21600,21600" o:gfxdata="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4iMwQNMAAAAEAQAADwAAAAAAAAABACAAAAAiAAAAZHJzL2Rv&#10;d25yZXYueG1sUEsBAhQAFAAAAAgAh07iQPj8sJsGAgAA/wMAAA4AAAAAAAAAAQAgAAAAIgEAAGRy&#10;cy9lMm9Eb2MueG1sUEsFBgAAAAAGAAYAWQEAAJoFAAAAAA==&#10;">
                <v:fill on="f" focussize="0,0"/>
                <v:stroke color="#000000" joinstyle="round"/>
                <v:imagedata o:title=""/>
                <o:lock v:ext="edit" aspectratio="f"/>
              </v:line>
            </w:pict>
          </mc:Fallback>
        </mc:AlternateContent>
      </w:r>
      <w:r>
        <w:rPr>
          <w:rFonts w:hint="default" w:ascii="Times New Roman" w:hAnsi="Times New Roman" w:eastAsia="仿宋_GB2312" w:cs="Times New Roman"/>
          <w:color w:val="auto"/>
          <w:spacing w:val="-11"/>
          <w:sz w:val="28"/>
          <w:szCs w:val="28"/>
        </w:rPr>
        <w:t>新疆生产建设兵团第七师胡杨河市生态环境局</w:t>
      </w:r>
      <w:r>
        <w:rPr>
          <w:rFonts w:hint="default" w:ascii="Times New Roman" w:hAnsi="Times New Roman" w:eastAsia="仿宋_GB2312" w:cs="Times New Roman"/>
          <w:color w:val="FF0000"/>
          <w:sz w:val="28"/>
          <w:szCs w:val="28"/>
        </w:rPr>
        <w:t xml:space="preserve"> </w:t>
      </w:r>
      <w:r>
        <w:rPr>
          <w:rFonts w:hint="default" w:ascii="Times New Roman" w:hAnsi="Times New Roman" w:eastAsia="仿宋_GB2312" w:cs="Times New Roman"/>
          <w:color w:val="auto"/>
          <w:sz w:val="28"/>
          <w:szCs w:val="28"/>
        </w:rPr>
        <w:t xml:space="preserve"> </w:t>
      </w:r>
      <w:r>
        <w:rPr>
          <w:rFonts w:hint="default" w:ascii="Times New Roman" w:hAnsi="Times New Roman" w:eastAsia="仿宋_GB2312" w:cs="Times New Roman"/>
          <w:color w:val="auto"/>
          <w:sz w:val="28"/>
          <w:szCs w:val="28"/>
          <w:lang w:val="en-US" w:eastAsia="zh-CN"/>
        </w:rPr>
        <w:t xml:space="preserve"> </w:t>
      </w:r>
      <w:r>
        <w:rPr>
          <w:rFonts w:hint="default" w:ascii="Times New Roman" w:hAnsi="Times New Roman" w:eastAsia="仿宋_GB2312" w:cs="Times New Roman"/>
          <w:color w:val="auto"/>
          <w:sz w:val="28"/>
          <w:szCs w:val="28"/>
        </w:rPr>
        <w:t>202</w:t>
      </w:r>
      <w:r>
        <w:rPr>
          <w:rFonts w:hint="eastAsia" w:eastAsia="仿宋_GB2312" w:cs="Times New Roman"/>
          <w:color w:val="auto"/>
          <w:sz w:val="28"/>
          <w:szCs w:val="28"/>
          <w:lang w:val="en-US" w:eastAsia="zh-CN"/>
        </w:rPr>
        <w:t>5</w:t>
      </w:r>
      <w:r>
        <w:rPr>
          <w:rFonts w:hint="default" w:ascii="Times New Roman" w:hAnsi="Times New Roman" w:eastAsia="仿宋_GB2312" w:cs="Times New Roman"/>
          <w:color w:val="auto"/>
          <w:sz w:val="28"/>
          <w:szCs w:val="28"/>
        </w:rPr>
        <w:t>年</w:t>
      </w:r>
      <w:r>
        <w:rPr>
          <w:rFonts w:hint="eastAsia" w:eastAsia="仿宋_GB2312" w:cs="Times New Roman"/>
          <w:color w:val="auto"/>
          <w:sz w:val="28"/>
          <w:szCs w:val="28"/>
          <w:lang w:val="en-US" w:eastAsia="zh-CN"/>
        </w:rPr>
        <w:t>2</w:t>
      </w:r>
      <w:r>
        <w:rPr>
          <w:rFonts w:hint="default" w:ascii="Times New Roman" w:hAnsi="Times New Roman" w:eastAsia="仿宋_GB2312" w:cs="Times New Roman"/>
          <w:color w:val="auto"/>
          <w:sz w:val="28"/>
          <w:szCs w:val="28"/>
        </w:rPr>
        <w:t>月</w:t>
      </w:r>
      <w:r>
        <w:rPr>
          <w:rFonts w:hint="eastAsia" w:eastAsia="仿宋_GB2312" w:cs="Times New Roman"/>
          <w:color w:val="auto"/>
          <w:sz w:val="28"/>
          <w:szCs w:val="28"/>
          <w:lang w:val="en-US" w:eastAsia="zh-CN"/>
        </w:rPr>
        <w:t>28</w:t>
      </w:r>
      <w:r>
        <w:rPr>
          <w:rFonts w:hint="default" w:ascii="Times New Roman" w:hAnsi="Times New Roman" w:eastAsia="仿宋_GB2312" w:cs="Times New Roman"/>
          <w:color w:val="auto"/>
          <w:sz w:val="28"/>
          <w:szCs w:val="28"/>
        </w:rPr>
        <w:t>日印发</w:t>
      </w:r>
    </w:p>
    <w:sectPr>
      <w:headerReference r:id="rId3" w:type="default"/>
      <w:footerReference r:id="rId4" w:type="default"/>
      <w:footerReference r:id="rId5" w:type="even"/>
      <w:pgSz w:w="11906" w:h="16838"/>
      <w:pgMar w:top="2098" w:right="1474" w:bottom="1984" w:left="1587" w:header="851" w:footer="1418" w:gutter="0"/>
      <w:pgNumType w:fmt="decimal"/>
      <w:cols w:space="72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oronet">
    <w:altName w:val="微软雅黑"/>
    <w:panose1 w:val="00000000000000000000"/>
    <w:charset w:val="00"/>
    <w:family w:val="script"/>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Arial Unicode MS">
    <w:altName w:val="宋体"/>
    <w:panose1 w:val="020B0604020202020204"/>
    <w:charset w:val="86"/>
    <w:family w:val="auto"/>
    <w:pitch w:val="default"/>
    <w:sig w:usb0="00000000" w:usb1="00000000" w:usb2="0000003F" w:usb3="00000000" w:csb0="603F01FF" w:csb1="FFFF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D7780A">
    <w:pPr>
      <w:pStyle w:val="10"/>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219075</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CFE13E">
                          <w:pPr>
                            <w:pStyle w:val="10"/>
                            <w:ind w:left="320" w:leftChars="100" w:right="320" w:rightChars="100"/>
                            <w:rPr>
                              <w:rStyle w:val="16"/>
                              <w:rFonts w:hint="eastAsia" w:ascii="仿宋_GB2312" w:eastAsia="仿宋_GB2312"/>
                              <w:b/>
                              <w:bCs/>
                              <w:sz w:val="28"/>
                              <w:szCs w:val="28"/>
                            </w:rPr>
                          </w:pPr>
                          <w:r>
                            <w:rPr>
                              <w:rStyle w:val="16"/>
                              <w:rFonts w:hint="eastAsia" w:ascii="仿宋_GB2312" w:eastAsia="仿宋_GB2312"/>
                              <w:sz w:val="28"/>
                              <w:szCs w:val="28"/>
                            </w:rPr>
                            <w:t xml:space="preserve">— </w:t>
                          </w:r>
                          <w:r>
                            <w:rPr>
                              <w:rFonts w:hint="eastAsia" w:ascii="仿宋_GB2312" w:eastAsia="仿宋_GB2312"/>
                              <w:sz w:val="28"/>
                              <w:szCs w:val="28"/>
                            </w:rPr>
                            <w:fldChar w:fldCharType="begin"/>
                          </w:r>
                          <w:r>
                            <w:rPr>
                              <w:rStyle w:val="16"/>
                              <w:rFonts w:hint="eastAsia" w:ascii="仿宋_GB2312" w:eastAsia="仿宋_GB2312"/>
                              <w:sz w:val="28"/>
                              <w:szCs w:val="28"/>
                            </w:rPr>
                            <w:instrText xml:space="preserve">PAGE  </w:instrText>
                          </w:r>
                          <w:r>
                            <w:rPr>
                              <w:rFonts w:hint="eastAsia" w:ascii="仿宋_GB2312" w:eastAsia="仿宋_GB2312"/>
                              <w:sz w:val="28"/>
                              <w:szCs w:val="28"/>
                            </w:rPr>
                            <w:fldChar w:fldCharType="separate"/>
                          </w:r>
                          <w:r>
                            <w:rPr>
                              <w:rStyle w:val="16"/>
                              <w:rFonts w:ascii="仿宋_GB2312" w:eastAsia="仿宋_GB2312"/>
                              <w:sz w:val="28"/>
                              <w:szCs w:val="28"/>
                            </w:rPr>
                            <w:t>1</w:t>
                          </w:r>
                          <w:r>
                            <w:rPr>
                              <w:rFonts w:hint="eastAsia" w:ascii="仿宋_GB2312" w:eastAsia="仿宋_GB2312"/>
                              <w:sz w:val="28"/>
                              <w:szCs w:val="28"/>
                            </w:rPr>
                            <w:fldChar w:fldCharType="end"/>
                          </w:r>
                          <w:r>
                            <w:rPr>
                              <w:rStyle w:val="16"/>
                              <w:rFonts w:hint="eastAsia" w:ascii="仿宋_GB2312" w:eastAsia="仿宋_GB2312"/>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7.25pt;height:144pt;width:144pt;mso-position-horizontal:outside;mso-position-horizontal-relative:margin;mso-wrap-style:none;z-index:251659264;mso-width-relative:page;mso-height-relative:page;" filled="f" stroked="f" coordsize="21600,21600" o:gfxdata="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F/LxMNQAAAAHAQAADwAAAAAAAAABACAAAAAiAAAAZHJzL2Rvd25yZXYueG1sUEsB&#10;AhQAFAAAAAgAh07iQLqMOCsyAgAAYQQAAA4AAAAAAAAAAQAgAAAAIwEAAGRycy9lMm9Eb2MueG1s&#10;UEsFBgAAAAAGAAYAWQEAAMcFAAAAAA==&#10;">
              <v:fill on="f" focussize="0,0"/>
              <v:stroke on="f" weight="0.5pt"/>
              <v:imagedata o:title=""/>
              <o:lock v:ext="edit" aspectratio="f"/>
              <v:textbox inset="0mm,0mm,0mm,0mm" style="mso-fit-shape-to-text:t;">
                <w:txbxContent>
                  <w:p w14:paraId="21CFE13E">
                    <w:pPr>
                      <w:pStyle w:val="10"/>
                      <w:ind w:left="320" w:leftChars="100" w:right="320" w:rightChars="100"/>
                      <w:rPr>
                        <w:rStyle w:val="16"/>
                        <w:rFonts w:hint="eastAsia" w:ascii="仿宋_GB2312" w:eastAsia="仿宋_GB2312"/>
                        <w:b/>
                        <w:bCs/>
                        <w:sz w:val="28"/>
                        <w:szCs w:val="28"/>
                      </w:rPr>
                    </w:pPr>
                    <w:r>
                      <w:rPr>
                        <w:rStyle w:val="16"/>
                        <w:rFonts w:hint="eastAsia" w:ascii="仿宋_GB2312" w:eastAsia="仿宋_GB2312"/>
                        <w:sz w:val="28"/>
                        <w:szCs w:val="28"/>
                      </w:rPr>
                      <w:t xml:space="preserve">— </w:t>
                    </w:r>
                    <w:r>
                      <w:rPr>
                        <w:rFonts w:hint="eastAsia" w:ascii="仿宋_GB2312" w:eastAsia="仿宋_GB2312"/>
                        <w:sz w:val="28"/>
                        <w:szCs w:val="28"/>
                      </w:rPr>
                      <w:fldChar w:fldCharType="begin"/>
                    </w:r>
                    <w:r>
                      <w:rPr>
                        <w:rStyle w:val="16"/>
                        <w:rFonts w:hint="eastAsia" w:ascii="仿宋_GB2312" w:eastAsia="仿宋_GB2312"/>
                        <w:sz w:val="28"/>
                        <w:szCs w:val="28"/>
                      </w:rPr>
                      <w:instrText xml:space="preserve">PAGE  </w:instrText>
                    </w:r>
                    <w:r>
                      <w:rPr>
                        <w:rFonts w:hint="eastAsia" w:ascii="仿宋_GB2312" w:eastAsia="仿宋_GB2312"/>
                        <w:sz w:val="28"/>
                        <w:szCs w:val="28"/>
                      </w:rPr>
                      <w:fldChar w:fldCharType="separate"/>
                    </w:r>
                    <w:r>
                      <w:rPr>
                        <w:rStyle w:val="16"/>
                        <w:rFonts w:ascii="仿宋_GB2312" w:eastAsia="仿宋_GB2312"/>
                        <w:sz w:val="28"/>
                        <w:szCs w:val="28"/>
                      </w:rPr>
                      <w:t>1</w:t>
                    </w:r>
                    <w:r>
                      <w:rPr>
                        <w:rFonts w:hint="eastAsia" w:ascii="仿宋_GB2312" w:eastAsia="仿宋_GB2312"/>
                        <w:sz w:val="28"/>
                        <w:szCs w:val="28"/>
                      </w:rPr>
                      <w:fldChar w:fldCharType="end"/>
                    </w:r>
                    <w:r>
                      <w:rPr>
                        <w:rStyle w:val="16"/>
                        <w:rFonts w:hint="eastAsia" w:ascii="仿宋_GB2312" w:eastAsia="仿宋_GB2312"/>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451005">
    <w:pPr>
      <w:pStyle w:val="10"/>
      <w:framePr w:wrap="around" w:vAnchor="text" w:hAnchor="margin" w:xAlign="outside" w:y="1"/>
      <w:rPr>
        <w:rStyle w:val="16"/>
      </w:rPr>
    </w:pPr>
    <w:r>
      <w:fldChar w:fldCharType="begin"/>
    </w:r>
    <w:r>
      <w:rPr>
        <w:rStyle w:val="16"/>
      </w:rPr>
      <w:instrText xml:space="preserve">PAGE  </w:instrText>
    </w:r>
    <w:r>
      <w:fldChar w:fldCharType="separate"/>
    </w:r>
    <w:r>
      <w:rPr>
        <w:rStyle w:val="16"/>
      </w:rPr>
      <w:t>1</w:t>
    </w:r>
    <w:r>
      <w:fldChar w:fldCharType="end"/>
    </w:r>
  </w:p>
  <w:p w14:paraId="06A1A65C">
    <w:pPr>
      <w:pStyle w:val="10"/>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50F5A0">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F401AFB"/>
    <w:multiLevelType w:val="multilevel"/>
    <w:tmpl w:val="7F401AFB"/>
    <w:lvl w:ilvl="0" w:tentative="0">
      <w:start w:val="1"/>
      <w:numFmt w:val="decimal"/>
      <w:pStyle w:val="3"/>
      <w:suff w:val="space"/>
      <w:lvlText w:val="%1"/>
      <w:lvlJc w:val="center"/>
      <w:pPr>
        <w:ind w:left="0" w:firstLine="0"/>
      </w:pPr>
      <w:rPr>
        <w:rFonts w:hint="default" w:ascii="Times New Roman" w:hAnsi="Times New Roman" w:eastAsia="宋体"/>
        <w:b/>
        <w:i w:val="0"/>
        <w:caps w:val="0"/>
        <w:strike w:val="0"/>
        <w:dstrike w:val="0"/>
        <w:vanish w:val="0"/>
        <w:color w:val="auto"/>
        <w:sz w:val="28"/>
        <w:szCs w:val="32"/>
        <w:u w:val="none"/>
        <w:vertAlign w:val="baseline"/>
      </w:rPr>
    </w:lvl>
    <w:lvl w:ilvl="1" w:tentative="0">
      <w:start w:val="1"/>
      <w:numFmt w:val="decimal"/>
      <w:isLgl/>
      <w:suff w:val="space"/>
      <w:lvlText w:val="%1.%2"/>
      <w:lvlJc w:val="left"/>
      <w:pPr>
        <w:ind w:left="0" w:firstLine="0"/>
      </w:pPr>
      <w:rPr>
        <w:rFonts w:hint="default" w:ascii="Times New Roman" w:hAnsi="Times New Roman" w:eastAsia="宋体"/>
        <w:b/>
        <w:i w:val="0"/>
        <w:caps w:val="0"/>
        <w:smallCaps w:val="0"/>
        <w:strike w:val="0"/>
        <w:dstrike w:val="0"/>
        <w:vanish w:val="0"/>
        <w:spacing w:val="0"/>
        <w:position w:val="0"/>
        <w:sz w:val="24"/>
        <w:u w:val="none"/>
        <w:vertAlign w:val="baseline"/>
      </w:rPr>
    </w:lvl>
    <w:lvl w:ilvl="2" w:tentative="0">
      <w:start w:val="1"/>
      <w:numFmt w:val="decimal"/>
      <w:suff w:val="space"/>
      <w:lvlText w:val="%1.%2.%3"/>
      <w:lvlJc w:val="left"/>
      <w:pPr>
        <w:ind w:left="280" w:firstLine="0"/>
      </w:pPr>
      <w:rPr>
        <w:rFonts w:hint="default" w:ascii="Times New Roman" w:hAnsi="Times New Roman" w:eastAsia="宋体"/>
        <w:b w:val="0"/>
        <w:i w:val="0"/>
        <w:caps w:val="0"/>
        <w:strike w:val="0"/>
        <w:dstrike w:val="0"/>
        <w:vanish w:val="0"/>
        <w:color w:val="auto"/>
        <w:sz w:val="24"/>
        <w:szCs w:val="28"/>
        <w:u w:val="none"/>
        <w:vertAlign w:val="baseline"/>
      </w:rPr>
    </w:lvl>
    <w:lvl w:ilvl="3" w:tentative="0">
      <w:start w:val="1"/>
      <w:numFmt w:val="decimal"/>
      <w:isLgl/>
      <w:suff w:val="space"/>
      <w:lvlText w:val="%1.%2.%3.%4"/>
      <w:lvlJc w:val="left"/>
      <w:pPr>
        <w:ind w:left="0" w:firstLine="0"/>
      </w:pPr>
      <w:rPr>
        <w:rFonts w:hint="default" w:ascii="Times New Roman" w:hAnsi="Times New Roman" w:eastAsia="宋体" w:cs="Coronet"/>
        <w:b w:val="0"/>
        <w:bCs w:val="0"/>
        <w:i w:val="0"/>
        <w:iCs w:val="0"/>
        <w:caps w:val="0"/>
        <w:smallCaps w:val="0"/>
        <w:strike w:val="0"/>
        <w:dstrike w:val="0"/>
        <w:vanish w:val="0"/>
        <w:spacing w:val="0"/>
        <w:kern w:val="0"/>
        <w:position w:val="0"/>
        <w:u w:val="none"/>
        <w:vertAlign w:val="baseline"/>
        <w:lang w:val="en-US"/>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ljZTQ2MWYyYTY5MDNmZDNlOGVlYzE1OWZlNTE2NTUifQ=="/>
  </w:docVars>
  <w:rsids>
    <w:rsidRoot w:val="007E248D"/>
    <w:rsid w:val="003C56A9"/>
    <w:rsid w:val="004964B4"/>
    <w:rsid w:val="004E2243"/>
    <w:rsid w:val="00551627"/>
    <w:rsid w:val="00667BE7"/>
    <w:rsid w:val="006E0941"/>
    <w:rsid w:val="00716EAB"/>
    <w:rsid w:val="007E248D"/>
    <w:rsid w:val="008833E6"/>
    <w:rsid w:val="008E7DDF"/>
    <w:rsid w:val="009102E5"/>
    <w:rsid w:val="009C6F11"/>
    <w:rsid w:val="00B8473B"/>
    <w:rsid w:val="00BB7897"/>
    <w:rsid w:val="00C43B00"/>
    <w:rsid w:val="00C514AC"/>
    <w:rsid w:val="00D003EC"/>
    <w:rsid w:val="00D774FB"/>
    <w:rsid w:val="00DC26F3"/>
    <w:rsid w:val="00DE4A81"/>
    <w:rsid w:val="00EC6E6C"/>
    <w:rsid w:val="00F617BE"/>
    <w:rsid w:val="00FB12F8"/>
    <w:rsid w:val="01913DF5"/>
    <w:rsid w:val="02370362"/>
    <w:rsid w:val="02B04EBD"/>
    <w:rsid w:val="04B77D73"/>
    <w:rsid w:val="05737345"/>
    <w:rsid w:val="06C71389"/>
    <w:rsid w:val="06CC7B06"/>
    <w:rsid w:val="07061550"/>
    <w:rsid w:val="07E14CFA"/>
    <w:rsid w:val="08EC6D80"/>
    <w:rsid w:val="0994708F"/>
    <w:rsid w:val="09E77F18"/>
    <w:rsid w:val="0BBC2B25"/>
    <w:rsid w:val="0CE57E5A"/>
    <w:rsid w:val="0E130163"/>
    <w:rsid w:val="128F6BA3"/>
    <w:rsid w:val="16B800EE"/>
    <w:rsid w:val="177121A0"/>
    <w:rsid w:val="19A10D50"/>
    <w:rsid w:val="1E460B4D"/>
    <w:rsid w:val="1E7948A6"/>
    <w:rsid w:val="20783D41"/>
    <w:rsid w:val="21162F81"/>
    <w:rsid w:val="21DD6837"/>
    <w:rsid w:val="232E3EB1"/>
    <w:rsid w:val="24057B5F"/>
    <w:rsid w:val="24696853"/>
    <w:rsid w:val="247C78BD"/>
    <w:rsid w:val="250B5DC7"/>
    <w:rsid w:val="256C6F12"/>
    <w:rsid w:val="25B11864"/>
    <w:rsid w:val="260C6FC7"/>
    <w:rsid w:val="266546C4"/>
    <w:rsid w:val="291034DE"/>
    <w:rsid w:val="2B066B68"/>
    <w:rsid w:val="2B665A9B"/>
    <w:rsid w:val="2BA03F96"/>
    <w:rsid w:val="2F130EE6"/>
    <w:rsid w:val="2F234AE5"/>
    <w:rsid w:val="2F2B3664"/>
    <w:rsid w:val="2FEE4162"/>
    <w:rsid w:val="32C5491C"/>
    <w:rsid w:val="358F67ED"/>
    <w:rsid w:val="371F1D45"/>
    <w:rsid w:val="37A75B88"/>
    <w:rsid w:val="38207142"/>
    <w:rsid w:val="38453BBB"/>
    <w:rsid w:val="3BAC6099"/>
    <w:rsid w:val="3C25479F"/>
    <w:rsid w:val="3D7076AF"/>
    <w:rsid w:val="3DD64512"/>
    <w:rsid w:val="3EC1562C"/>
    <w:rsid w:val="3F0E35AF"/>
    <w:rsid w:val="3F4E158E"/>
    <w:rsid w:val="4419237E"/>
    <w:rsid w:val="45D948F4"/>
    <w:rsid w:val="46F24DE3"/>
    <w:rsid w:val="47587B93"/>
    <w:rsid w:val="4AB55994"/>
    <w:rsid w:val="4B9F5BD0"/>
    <w:rsid w:val="4CBF17F2"/>
    <w:rsid w:val="4CCA458A"/>
    <w:rsid w:val="50CC6933"/>
    <w:rsid w:val="50CD705E"/>
    <w:rsid w:val="52E568E7"/>
    <w:rsid w:val="54231BA0"/>
    <w:rsid w:val="562D5084"/>
    <w:rsid w:val="596F60AE"/>
    <w:rsid w:val="5A605F4A"/>
    <w:rsid w:val="5A885A96"/>
    <w:rsid w:val="609006D2"/>
    <w:rsid w:val="64C86FBA"/>
    <w:rsid w:val="654C1999"/>
    <w:rsid w:val="66BE66CF"/>
    <w:rsid w:val="677F3533"/>
    <w:rsid w:val="68991CEA"/>
    <w:rsid w:val="6ADC4BA2"/>
    <w:rsid w:val="6B762AC2"/>
    <w:rsid w:val="6B997D40"/>
    <w:rsid w:val="6C054650"/>
    <w:rsid w:val="6C711CE5"/>
    <w:rsid w:val="6D272415"/>
    <w:rsid w:val="6F065AB6"/>
    <w:rsid w:val="70205EFC"/>
    <w:rsid w:val="70787AE6"/>
    <w:rsid w:val="721320EC"/>
    <w:rsid w:val="73323C81"/>
    <w:rsid w:val="7388211F"/>
    <w:rsid w:val="745A0337"/>
    <w:rsid w:val="76DD68F5"/>
    <w:rsid w:val="76FA7D0E"/>
    <w:rsid w:val="77B21B30"/>
    <w:rsid w:val="780A371A"/>
    <w:rsid w:val="79621333"/>
    <w:rsid w:val="798C319D"/>
    <w:rsid w:val="79F35C8E"/>
    <w:rsid w:val="7A85778D"/>
    <w:rsid w:val="7C460A98"/>
    <w:rsid w:val="7D7B4DE1"/>
    <w:rsid w:val="7EB244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iPriority="99"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99"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32"/>
      <w:szCs w:val="24"/>
      <w:lang w:val="en-US" w:eastAsia="zh-CN" w:bidi="ar-SA"/>
    </w:rPr>
  </w:style>
  <w:style w:type="paragraph" w:styleId="3">
    <w:name w:val="heading 1"/>
    <w:basedOn w:val="1"/>
    <w:next w:val="1"/>
    <w:qFormat/>
    <w:uiPriority w:val="0"/>
    <w:pPr>
      <w:keepNext/>
      <w:keepLines/>
      <w:numPr>
        <w:ilvl w:val="0"/>
        <w:numId w:val="1"/>
      </w:numPr>
      <w:outlineLvl w:val="0"/>
    </w:pPr>
    <w:rPr>
      <w:b/>
      <w:kern w:val="0"/>
      <w:sz w:val="28"/>
      <w:szCs w:val="28"/>
    </w:rPr>
  </w:style>
  <w:style w:type="paragraph" w:styleId="2">
    <w:name w:val="heading 2"/>
    <w:basedOn w:val="1"/>
    <w:next w:val="1"/>
    <w:qFormat/>
    <w:uiPriority w:val="0"/>
    <w:pPr>
      <w:keepNext/>
      <w:keepLines/>
      <w:widowControl w:val="0"/>
      <w:spacing w:before="50" w:beforeLines="50" w:after="50" w:afterLines="50" w:line="560" w:lineRule="exact"/>
      <w:ind w:firstLine="640" w:firstLineChars="200"/>
      <w:outlineLvl w:val="1"/>
    </w:pPr>
    <w:rPr>
      <w:rFonts w:ascii="仿宋" w:hAnsi="宋体" w:eastAsia="楷体" w:cs="仿宋"/>
      <w:b/>
      <w:bCs/>
      <w:kern w:val="2"/>
      <w:sz w:val="36"/>
      <w:szCs w:val="32"/>
      <w:lang w:val="en-US" w:eastAsia="zh-CN" w:bidi="ar-SA"/>
    </w:rPr>
  </w:style>
  <w:style w:type="paragraph" w:styleId="4">
    <w:name w:val="heading 3"/>
    <w:basedOn w:val="1"/>
    <w:next w:val="1"/>
    <w:qFormat/>
    <w:uiPriority w:val="0"/>
    <w:pPr>
      <w:keepNext/>
      <w:keepLines/>
      <w:spacing w:line="360" w:lineRule="auto"/>
      <w:ind w:firstLine="200" w:firstLineChars="200"/>
      <w:outlineLvl w:val="2"/>
    </w:pPr>
    <w:rPr>
      <w:bCs/>
      <w:szCs w:val="28"/>
    </w:rPr>
  </w:style>
  <w:style w:type="character" w:default="1" w:styleId="15">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ind w:firstLine="420" w:firstLineChars="200"/>
    </w:pPr>
    <w:rPr>
      <w:rFonts w:ascii="宋体" w:hAnsi="宋体"/>
    </w:rPr>
  </w:style>
  <w:style w:type="paragraph" w:styleId="6">
    <w:name w:val="index 5"/>
    <w:basedOn w:val="1"/>
    <w:next w:val="1"/>
    <w:qFormat/>
    <w:uiPriority w:val="0"/>
    <w:pPr>
      <w:ind w:left="800" w:leftChars="800"/>
    </w:pPr>
  </w:style>
  <w:style w:type="paragraph" w:styleId="7">
    <w:name w:val="Body Text"/>
    <w:basedOn w:val="1"/>
    <w:next w:val="8"/>
    <w:qFormat/>
    <w:uiPriority w:val="0"/>
    <w:rPr>
      <w:rFonts w:eastAsia="华文中宋"/>
      <w:b/>
      <w:bCs/>
      <w:w w:val="90"/>
      <w:sz w:val="44"/>
    </w:rPr>
  </w:style>
  <w:style w:type="paragraph" w:customStyle="1" w:styleId="8">
    <w:name w:val="xl27"/>
    <w:basedOn w:val="1"/>
    <w:qFormat/>
    <w:uiPriority w:val="0"/>
    <w:pPr>
      <w:widowControl/>
      <w:pBdr>
        <w:bottom w:val="single" w:color="auto" w:sz="4" w:space="0"/>
        <w:right w:val="single" w:color="auto" w:sz="4" w:space="0"/>
      </w:pBdr>
      <w:spacing w:before="100" w:beforeAutospacing="1" w:after="100" w:afterAutospacing="1"/>
      <w:jc w:val="center"/>
    </w:pPr>
    <w:rPr>
      <w:rFonts w:eastAsia="Arial Unicode MS"/>
      <w:kern w:val="0"/>
      <w:szCs w:val="21"/>
    </w:rPr>
  </w:style>
  <w:style w:type="paragraph" w:styleId="9">
    <w:name w:val="Block Text"/>
    <w:basedOn w:val="1"/>
    <w:qFormat/>
    <w:uiPriority w:val="99"/>
    <w:pPr>
      <w:spacing w:line="480" w:lineRule="exact"/>
      <w:ind w:left="-125" w:right="-56" w:firstLine="570"/>
    </w:pPr>
    <w:rPr>
      <w:sz w:val="28"/>
      <w:szCs w:val="24"/>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bottom w:val="single" w:color="auto" w:sz="6" w:space="1"/>
      </w:pBdr>
      <w:tabs>
        <w:tab w:val="center" w:pos="4153"/>
        <w:tab w:val="right" w:pos="8306"/>
      </w:tabs>
      <w:snapToGrid w:val="0"/>
      <w:jc w:val="center"/>
    </w:pPr>
    <w:rPr>
      <w:sz w:val="18"/>
    </w:rPr>
  </w:style>
  <w:style w:type="paragraph" w:styleId="12">
    <w:name w:val="footnote text"/>
    <w:basedOn w:val="1"/>
    <w:next w:val="6"/>
    <w:unhideWhenUsed/>
    <w:qFormat/>
    <w:uiPriority w:val="99"/>
    <w:pPr>
      <w:snapToGrid w:val="0"/>
      <w:jc w:val="left"/>
    </w:pPr>
    <w:rPr>
      <w:rFonts w:ascii="Calibri" w:hAnsi="Calibri" w:eastAsia="仿宋" w:cs="Times New Roman"/>
      <w:sz w:val="18"/>
      <w:szCs w:val="18"/>
    </w:rPr>
  </w:style>
  <w:style w:type="paragraph" w:styleId="13">
    <w:name w:val="Body Text 2"/>
    <w:basedOn w:val="1"/>
    <w:unhideWhenUsed/>
    <w:qFormat/>
    <w:uiPriority w:val="99"/>
    <w:pPr>
      <w:spacing w:after="120" w:line="480" w:lineRule="auto"/>
    </w:pPr>
  </w:style>
  <w:style w:type="character" w:styleId="16">
    <w:name w:val="page number"/>
    <w:basedOn w:val="15"/>
    <w:qFormat/>
    <w:uiPriority w:val="0"/>
  </w:style>
  <w:style w:type="paragraph" w:customStyle="1" w:styleId="17">
    <w:name w:val="Default"/>
    <w:basedOn w:val="18"/>
    <w:next w:val="1"/>
    <w:unhideWhenUsed/>
    <w:qFormat/>
    <w:uiPriority w:val="0"/>
    <w:pPr>
      <w:tabs>
        <w:tab w:val="left" w:pos="2760"/>
      </w:tabs>
      <w:autoSpaceDE w:val="0"/>
      <w:autoSpaceDN w:val="0"/>
    </w:pPr>
    <w:rPr>
      <w:rFonts w:hAnsi="宋体" w:eastAsia="宋体"/>
      <w:color w:val="000000"/>
      <w:sz w:val="24"/>
    </w:rPr>
  </w:style>
  <w:style w:type="paragraph" w:customStyle="1" w:styleId="18">
    <w:name w:val="纯文本1"/>
    <w:basedOn w:val="1"/>
    <w:qFormat/>
    <w:uiPriority w:val="0"/>
    <w:pPr>
      <w:tabs>
        <w:tab w:val="left" w:pos="2760"/>
      </w:tabs>
      <w:adjustRightInd w:val="0"/>
    </w:pPr>
    <w:rPr>
      <w:rFonts w:ascii="宋体" w:hAnsi="Courier New"/>
    </w:rPr>
  </w:style>
  <w:style w:type="paragraph" w:customStyle="1" w:styleId="19">
    <w:name w:val="Char"/>
    <w:basedOn w:val="1"/>
    <w:qFormat/>
    <w:uiPriority w:val="0"/>
    <w:rPr>
      <w:rFonts w:cs="宋体"/>
      <w:sz w:val="28"/>
    </w:rPr>
  </w:style>
  <w:style w:type="paragraph" w:customStyle="1" w:styleId="20">
    <w:name w:val="YJ正文*"/>
    <w:basedOn w:val="1"/>
    <w:qFormat/>
    <w:uiPriority w:val="0"/>
    <w:pPr>
      <w:spacing w:line="500" w:lineRule="exact"/>
      <w:ind w:firstLine="200" w:firstLineChars="200"/>
      <w:jc w:val="both"/>
    </w:pPr>
    <w:rPr>
      <w:rFonts w:ascii="等线" w:hAnsi="等线" w:eastAsia="宋体"/>
      <w:sz w:val="24"/>
    </w:rPr>
  </w:style>
  <w:style w:type="paragraph" w:customStyle="1" w:styleId="21">
    <w:name w:val="表字-书"/>
    <w:basedOn w:val="1"/>
    <w:qFormat/>
    <w:uiPriority w:val="0"/>
    <w:pPr>
      <w:spacing w:line="240" w:lineRule="exact"/>
      <w:ind w:firstLine="0" w:firstLineChars="0"/>
      <w:jc w:val="center"/>
    </w:pPr>
    <w:rPr>
      <w:rFonts w:hAnsi="宋体"/>
      <w:sz w:val="21"/>
      <w:szCs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2173</Words>
  <Characters>2349</Characters>
  <Lines>11</Lines>
  <Paragraphs>3</Paragraphs>
  <TotalTime>0</TotalTime>
  <ScaleCrop>false</ScaleCrop>
  <LinksUpToDate>false</LinksUpToDate>
  <CharactersWithSpaces>2391</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2020-12-18T12:29:00Z</dcterms:created>
  <dc:creator>Administrator</dc:creator>
  <cp:lastModifiedBy>风的自由</cp:lastModifiedBy>
  <cp:lastPrinted>2024-11-21T03:27:00Z</cp:lastPrinted>
  <dcterms:modified xsi:type="dcterms:W3CDTF">2025-02-27T14:43:15Z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4DA72479B146437EBFC47413249BADA5_13</vt:lpwstr>
  </property>
  <property fmtid="{D5CDD505-2E9C-101B-9397-08002B2CF9AE}" pid="4" name="KSOTemplateDocerSaveRecord">
    <vt:lpwstr>eyJoZGlkIjoiOTM4ZGE5MjAwOTRjNzE3YmI3NzllODlkMzQzMmYzMzgiLCJ1c2VySWQiOiI1NTE5NjI2NTYifQ==</vt:lpwstr>
  </property>
</Properties>
</file>